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6F37C4" w:rsidRPr="006F37C4" w:rsidTr="006F37C4">
        <w:trPr>
          <w:tblCellSpacing w:w="0" w:type="dxa"/>
        </w:trPr>
        <w:tc>
          <w:tcPr>
            <w:tcW w:w="3511" w:type="dxa"/>
            <w:shd w:val="clear" w:color="auto" w:fill="FFFFFF"/>
            <w:tcMar>
              <w:top w:w="0" w:type="dxa"/>
              <w:left w:w="108" w:type="dxa"/>
              <w:bottom w:w="0" w:type="dxa"/>
              <w:right w:w="108" w:type="dxa"/>
            </w:tcMar>
            <w:hideMark/>
          </w:tcPr>
          <w:p w:rsidR="006F37C4" w:rsidRPr="006F37C4" w:rsidRDefault="006F37C4" w:rsidP="006F37C4">
            <w:pPr>
              <w:spacing w:before="120" w:after="120" w:line="234" w:lineRule="atLeast"/>
              <w:jc w:val="center"/>
              <w:rPr>
                <w:rFonts w:ascii="Arial" w:eastAsia="Times New Roman" w:hAnsi="Arial" w:cs="Arial"/>
                <w:color w:val="000000"/>
                <w:sz w:val="24"/>
                <w:szCs w:val="24"/>
              </w:rPr>
            </w:pPr>
            <w:r w:rsidRPr="006F37C4">
              <w:rPr>
                <w:rFonts w:ascii="Arial" w:eastAsia="Times New Roman" w:hAnsi="Arial" w:cs="Arial"/>
                <w:b/>
                <w:bCs/>
                <w:color w:val="000000"/>
                <w:sz w:val="24"/>
                <w:szCs w:val="24"/>
              </w:rPr>
              <w:t>CHÍNH PHỦ</w:t>
            </w:r>
            <w:r w:rsidRPr="006F37C4">
              <w:rPr>
                <w:rFonts w:ascii="Arial" w:eastAsia="Times New Roman" w:hAnsi="Arial" w:cs="Arial"/>
                <w:b/>
                <w:bCs/>
                <w:color w:val="000000"/>
                <w:sz w:val="24"/>
                <w:szCs w:val="24"/>
              </w:rPr>
              <w:br/>
              <w:t>-------</w:t>
            </w:r>
          </w:p>
        </w:tc>
        <w:tc>
          <w:tcPr>
            <w:tcW w:w="5776" w:type="dxa"/>
            <w:shd w:val="clear" w:color="auto" w:fill="FFFFFF"/>
            <w:tcMar>
              <w:top w:w="0" w:type="dxa"/>
              <w:left w:w="108" w:type="dxa"/>
              <w:bottom w:w="0" w:type="dxa"/>
              <w:right w:w="108" w:type="dxa"/>
            </w:tcMar>
            <w:hideMark/>
          </w:tcPr>
          <w:p w:rsidR="006F37C4" w:rsidRPr="006F37C4" w:rsidRDefault="006F37C4" w:rsidP="006F37C4">
            <w:pPr>
              <w:spacing w:before="120" w:after="120" w:line="234" w:lineRule="atLeast"/>
              <w:jc w:val="center"/>
              <w:rPr>
                <w:rFonts w:ascii="Arial" w:eastAsia="Times New Roman" w:hAnsi="Arial" w:cs="Arial"/>
                <w:color w:val="000000"/>
                <w:sz w:val="24"/>
                <w:szCs w:val="24"/>
              </w:rPr>
            </w:pPr>
            <w:r w:rsidRPr="006F37C4">
              <w:rPr>
                <w:rFonts w:ascii="Arial" w:eastAsia="Times New Roman" w:hAnsi="Arial" w:cs="Arial"/>
                <w:b/>
                <w:bCs/>
                <w:color w:val="000000"/>
                <w:sz w:val="24"/>
                <w:szCs w:val="24"/>
              </w:rPr>
              <w:t>CỘNG HÒA XÃ HỘI CHỦ NGHĨA VIỆT NAM</w:t>
            </w:r>
            <w:r w:rsidRPr="006F37C4">
              <w:rPr>
                <w:rFonts w:ascii="Arial" w:eastAsia="Times New Roman" w:hAnsi="Arial" w:cs="Arial"/>
                <w:b/>
                <w:bCs/>
                <w:color w:val="000000"/>
                <w:sz w:val="24"/>
                <w:szCs w:val="24"/>
              </w:rPr>
              <w:br/>
              <w:t>Độc lập - Tự do - Hạnh phúc</w:t>
            </w:r>
            <w:r w:rsidRPr="006F37C4">
              <w:rPr>
                <w:rFonts w:ascii="Arial" w:eastAsia="Times New Roman" w:hAnsi="Arial" w:cs="Arial"/>
                <w:b/>
                <w:bCs/>
                <w:color w:val="000000"/>
                <w:sz w:val="24"/>
                <w:szCs w:val="24"/>
              </w:rPr>
              <w:br/>
              <w:t>---------------</w:t>
            </w:r>
          </w:p>
        </w:tc>
      </w:tr>
      <w:tr w:rsidR="006F37C4" w:rsidRPr="006F37C4" w:rsidTr="006F37C4">
        <w:trPr>
          <w:tblCellSpacing w:w="0" w:type="dxa"/>
        </w:trPr>
        <w:tc>
          <w:tcPr>
            <w:tcW w:w="3511" w:type="dxa"/>
            <w:shd w:val="clear" w:color="auto" w:fill="FFFFFF"/>
            <w:tcMar>
              <w:top w:w="0" w:type="dxa"/>
              <w:left w:w="108" w:type="dxa"/>
              <w:bottom w:w="0" w:type="dxa"/>
              <w:right w:w="108" w:type="dxa"/>
            </w:tcMar>
            <w:hideMark/>
          </w:tcPr>
          <w:p w:rsidR="006F37C4" w:rsidRPr="006F37C4" w:rsidRDefault="006F37C4" w:rsidP="006F37C4">
            <w:pPr>
              <w:spacing w:before="120" w:after="120" w:line="234" w:lineRule="atLeast"/>
              <w:jc w:val="center"/>
              <w:rPr>
                <w:rFonts w:ascii="Arial" w:eastAsia="Times New Roman" w:hAnsi="Arial" w:cs="Arial"/>
                <w:color w:val="000000"/>
                <w:sz w:val="24"/>
                <w:szCs w:val="24"/>
              </w:rPr>
            </w:pPr>
            <w:r w:rsidRPr="006F37C4">
              <w:rPr>
                <w:rFonts w:ascii="Arial" w:eastAsia="Times New Roman" w:hAnsi="Arial" w:cs="Arial"/>
                <w:color w:val="000000"/>
                <w:sz w:val="24"/>
                <w:szCs w:val="24"/>
              </w:rPr>
              <w:t>Số: 178/2024/NĐ-CP</w:t>
            </w:r>
          </w:p>
        </w:tc>
        <w:tc>
          <w:tcPr>
            <w:tcW w:w="5776" w:type="dxa"/>
            <w:shd w:val="clear" w:color="auto" w:fill="FFFFFF"/>
            <w:tcMar>
              <w:top w:w="0" w:type="dxa"/>
              <w:left w:w="108" w:type="dxa"/>
              <w:bottom w:w="0" w:type="dxa"/>
              <w:right w:w="108" w:type="dxa"/>
            </w:tcMar>
            <w:hideMark/>
          </w:tcPr>
          <w:p w:rsidR="006F37C4" w:rsidRPr="006F37C4" w:rsidRDefault="006F37C4" w:rsidP="006F37C4">
            <w:pPr>
              <w:spacing w:before="120" w:after="120" w:line="234" w:lineRule="atLeast"/>
              <w:jc w:val="right"/>
              <w:rPr>
                <w:rFonts w:ascii="Arial" w:eastAsia="Times New Roman" w:hAnsi="Arial" w:cs="Arial"/>
                <w:color w:val="000000"/>
                <w:sz w:val="24"/>
                <w:szCs w:val="24"/>
              </w:rPr>
            </w:pPr>
            <w:r w:rsidRPr="006F37C4">
              <w:rPr>
                <w:rFonts w:ascii="Arial" w:eastAsia="Times New Roman" w:hAnsi="Arial" w:cs="Arial"/>
                <w:i/>
                <w:iCs/>
                <w:color w:val="000000"/>
                <w:sz w:val="24"/>
                <w:szCs w:val="24"/>
              </w:rPr>
              <w:t>Hà Nội, ngày 31 tháng 12 năm 2024</w:t>
            </w:r>
          </w:p>
        </w:tc>
      </w:tr>
    </w:tbl>
    <w:p w:rsidR="006F37C4" w:rsidRDefault="006F37C4" w:rsidP="006F37C4">
      <w:pPr>
        <w:shd w:val="clear" w:color="auto" w:fill="FFFFFF"/>
        <w:spacing w:after="0" w:line="234" w:lineRule="atLeast"/>
        <w:jc w:val="center"/>
        <w:rPr>
          <w:rFonts w:ascii="Arial" w:eastAsia="Times New Roman" w:hAnsi="Arial" w:cs="Arial"/>
          <w:b/>
          <w:bCs/>
          <w:color w:val="000000"/>
          <w:sz w:val="24"/>
          <w:szCs w:val="24"/>
        </w:rPr>
      </w:pPr>
      <w:bookmarkStart w:id="0" w:name="loai_1"/>
    </w:p>
    <w:p w:rsidR="006F37C4" w:rsidRDefault="006F37C4" w:rsidP="006F37C4">
      <w:pPr>
        <w:shd w:val="clear" w:color="auto" w:fill="FFFFFF"/>
        <w:spacing w:after="0" w:line="234" w:lineRule="atLeast"/>
        <w:jc w:val="center"/>
        <w:rPr>
          <w:rFonts w:ascii="Arial" w:eastAsia="Times New Roman" w:hAnsi="Arial" w:cs="Arial"/>
          <w:b/>
          <w:bCs/>
          <w:color w:val="000000"/>
          <w:sz w:val="24"/>
          <w:szCs w:val="24"/>
        </w:rPr>
      </w:pPr>
      <w:r w:rsidRPr="006F37C4">
        <w:rPr>
          <w:rFonts w:ascii="Arial" w:eastAsia="Times New Roman" w:hAnsi="Arial" w:cs="Arial"/>
          <w:b/>
          <w:bCs/>
          <w:color w:val="000000"/>
          <w:sz w:val="24"/>
          <w:szCs w:val="24"/>
        </w:rPr>
        <w:t>NGHỊ ĐỊNH</w:t>
      </w:r>
      <w:bookmarkEnd w:id="0"/>
    </w:p>
    <w:p w:rsidR="006F37C4" w:rsidRPr="006F37C4" w:rsidRDefault="006F37C4" w:rsidP="006F37C4">
      <w:pPr>
        <w:shd w:val="clear" w:color="auto" w:fill="FFFFFF"/>
        <w:spacing w:after="0" w:line="234" w:lineRule="atLeast"/>
        <w:jc w:val="center"/>
        <w:rPr>
          <w:rFonts w:ascii="Arial" w:eastAsia="Times New Roman" w:hAnsi="Arial" w:cs="Arial"/>
          <w:color w:val="000000"/>
          <w:sz w:val="24"/>
          <w:szCs w:val="24"/>
        </w:rPr>
      </w:pPr>
    </w:p>
    <w:p w:rsidR="006F37C4" w:rsidRDefault="006F37C4" w:rsidP="006F37C4">
      <w:pPr>
        <w:shd w:val="clear" w:color="auto" w:fill="FFFFFF"/>
        <w:spacing w:after="0" w:line="234" w:lineRule="atLeast"/>
        <w:jc w:val="center"/>
        <w:rPr>
          <w:rFonts w:ascii="Arial" w:eastAsia="Times New Roman" w:hAnsi="Arial" w:cs="Arial"/>
          <w:color w:val="000000"/>
          <w:sz w:val="24"/>
          <w:szCs w:val="24"/>
        </w:rPr>
      </w:pPr>
      <w:bookmarkStart w:id="1" w:name="loai_1_name"/>
      <w:r w:rsidRPr="006F37C4">
        <w:rPr>
          <w:rFonts w:ascii="Arial" w:eastAsia="Times New Roman" w:hAnsi="Arial" w:cs="Arial"/>
          <w:color w:val="000000"/>
          <w:sz w:val="24"/>
          <w:szCs w:val="24"/>
        </w:rPr>
        <w:t>VỀ CHÍNH SÁCH, CHẾ ĐỘ ĐỐI VỚI CÁN BỘ, CÔNG CHỨC, VIÊN CHỨC, NGƯỜI LAO ĐỘNG VÀ LỰC LƯỢNG VŨ TRANG TRONG THỰC HIỆN SẮP XẾP TỔ CHỨC BỘ MÁY CỦA HỆ THỐNG CHÍNH TRỊ</w:t>
      </w:r>
      <w:bookmarkEnd w:id="1"/>
    </w:p>
    <w:p w:rsidR="006F37C4" w:rsidRDefault="006F37C4" w:rsidP="006F37C4">
      <w:pPr>
        <w:shd w:val="clear" w:color="auto" w:fill="FFFFFF"/>
        <w:spacing w:after="0" w:line="234" w:lineRule="atLeast"/>
        <w:jc w:val="center"/>
        <w:rPr>
          <w:rFonts w:ascii="Arial" w:eastAsia="Times New Roman" w:hAnsi="Arial" w:cs="Arial"/>
          <w:color w:val="000000"/>
          <w:sz w:val="24"/>
          <w:szCs w:val="24"/>
        </w:rPr>
      </w:pPr>
    </w:p>
    <w:p w:rsidR="006F37C4" w:rsidRPr="006F37C4" w:rsidRDefault="006F37C4" w:rsidP="006F37C4">
      <w:pPr>
        <w:shd w:val="clear" w:color="auto" w:fill="FFFFFF"/>
        <w:spacing w:after="0" w:line="234" w:lineRule="atLeast"/>
        <w:jc w:val="center"/>
        <w:rPr>
          <w:rFonts w:ascii="Arial" w:eastAsia="Times New Roman" w:hAnsi="Arial" w:cs="Arial"/>
          <w:color w:val="000000"/>
          <w:sz w:val="24"/>
          <w:szCs w:val="24"/>
        </w:rPr>
      </w:pP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2" w:name="tvpllink_jofmpsyqcp"/>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"https://thuvienphapluat.vn/van-ban/Bo-may-hanh-chinh/Luat-to-chuc-Chinh-phu-2015-282379.aspx"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Tổ chức Chính phủ</w:t>
      </w:r>
      <w:r w:rsidRPr="006F37C4">
        <w:rPr>
          <w:rFonts w:ascii="Arial" w:eastAsia="Times New Roman" w:hAnsi="Arial" w:cs="Arial"/>
          <w:i/>
          <w:iCs/>
          <w:sz w:val="26"/>
          <w:szCs w:val="26"/>
        </w:rPr>
        <w:fldChar w:fldCharType="end"/>
      </w:r>
      <w:bookmarkEnd w:id="2"/>
      <w:r w:rsidRPr="006F37C4">
        <w:rPr>
          <w:rFonts w:ascii="Arial" w:eastAsia="Times New Roman" w:hAnsi="Arial" w:cs="Arial"/>
          <w:i/>
          <w:iCs/>
          <w:sz w:val="26"/>
          <w:szCs w:val="26"/>
        </w:rPr>
        <w:t> ngày 19 tháng 6 năm 2015; </w:t>
      </w:r>
      <w:bookmarkStart w:id="3" w:name="tvpllink_cdgudmonqm"/>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"https://thuvienphapluat.vn/van-ban/Bo-may-hanh-chinh/Luat-To-chuc-chinh-phu-va-Luat-To-chuc-chinh-quyen-dia-phuong-sua-doi-2019-411945.aspx"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sửa đổi, bổ sung một số điều của Luật Tổ chức chính phủ và Luật Tổ chức chính quyền địa phương</w:t>
      </w:r>
      <w:r w:rsidRPr="006F37C4">
        <w:rPr>
          <w:rFonts w:ascii="Arial" w:eastAsia="Times New Roman" w:hAnsi="Arial" w:cs="Arial"/>
          <w:i/>
          <w:iCs/>
          <w:sz w:val="26"/>
          <w:szCs w:val="26"/>
        </w:rPr>
        <w:fldChar w:fldCharType="end"/>
      </w:r>
      <w:bookmarkEnd w:id="3"/>
      <w:r w:rsidRPr="006F37C4">
        <w:rPr>
          <w:rFonts w:ascii="Arial" w:eastAsia="Times New Roman" w:hAnsi="Arial" w:cs="Arial"/>
          <w:i/>
          <w:iCs/>
          <w:sz w:val="26"/>
          <w:szCs w:val="26"/>
        </w:rPr>
        <w:t> ngày 22 tháng 11 năm 2019;</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4" w:name="tvpllink_nbilipmzhq"/>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"https://thuvienphapluat.vn/van-ban/Lao-dong-Tien-luong/Bo-Luat-lao-dong-2019-333670.aspx"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Bộ luật Lao động</w:t>
      </w:r>
      <w:r w:rsidRPr="006F37C4">
        <w:rPr>
          <w:rFonts w:ascii="Arial" w:eastAsia="Times New Roman" w:hAnsi="Arial" w:cs="Arial"/>
          <w:i/>
          <w:iCs/>
          <w:sz w:val="26"/>
          <w:szCs w:val="26"/>
        </w:rPr>
        <w:fldChar w:fldCharType="end"/>
      </w:r>
      <w:bookmarkEnd w:id="4"/>
      <w:r w:rsidRPr="006F37C4">
        <w:rPr>
          <w:rFonts w:ascii="Arial" w:eastAsia="Times New Roman" w:hAnsi="Arial" w:cs="Arial"/>
          <w:i/>
          <w:iCs/>
          <w:sz w:val="26"/>
          <w:szCs w:val="26"/>
        </w:rPr>
        <w:t> ngày 20 tháng 11 năm 2019;</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5" w:name="tvpllink_gumcmwraco"/>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"https://thuvienphapluat.vn/van-ban/Bo-may-hanh-chinh/Luat-can-bo-cong-chuc-2008-22-2008-QH12-82202.aspx"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Cán bộ, công chức</w:t>
      </w:r>
      <w:r w:rsidRPr="006F37C4">
        <w:rPr>
          <w:rFonts w:ascii="Arial" w:eastAsia="Times New Roman" w:hAnsi="Arial" w:cs="Arial"/>
          <w:i/>
          <w:iCs/>
          <w:sz w:val="26"/>
          <w:szCs w:val="26"/>
        </w:rPr>
        <w:fldChar w:fldCharType="end"/>
      </w:r>
      <w:bookmarkEnd w:id="5"/>
      <w:r w:rsidRPr="006F37C4">
        <w:rPr>
          <w:rFonts w:ascii="Arial" w:eastAsia="Times New Roman" w:hAnsi="Arial" w:cs="Arial"/>
          <w:i/>
          <w:iCs/>
          <w:sz w:val="26"/>
          <w:szCs w:val="26"/>
        </w:rPr>
        <w:t> ngày 13 tháng 11 năm 2008;</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6" w:name="tvpllink_pbbhayoinb"/>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"https://thuvienphapluat.vn/van-ban/Bo-may-hanh-chinh/Luat-vien-chuc-2010-115271.aspx"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Viên chức</w:t>
      </w:r>
      <w:r w:rsidRPr="006F37C4">
        <w:rPr>
          <w:rFonts w:ascii="Arial" w:eastAsia="Times New Roman" w:hAnsi="Arial" w:cs="Arial"/>
          <w:i/>
          <w:iCs/>
          <w:sz w:val="26"/>
          <w:szCs w:val="26"/>
        </w:rPr>
        <w:fldChar w:fldCharType="end"/>
      </w:r>
      <w:bookmarkEnd w:id="6"/>
      <w:r w:rsidRPr="006F37C4">
        <w:rPr>
          <w:rFonts w:ascii="Arial" w:eastAsia="Times New Roman" w:hAnsi="Arial" w:cs="Arial"/>
          <w:i/>
          <w:iCs/>
          <w:sz w:val="26"/>
          <w:szCs w:val="26"/>
        </w:rPr>
        <w:t> ngày 15 tháng 11 năm 2010;</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7" w:name="tvpllink_txueccitjt"/>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"https://thuvienphapluat.vn/van-ban/Bo-may-hanh-chinh/Luat-can-bo-cong-chuc-va-luat-vien-chuc-sua-doi-2019-405729.aspx"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sửa đổi, bổ sung một số điều của Luật Cán bộ, công chức và Luật Viên chức</w:t>
      </w:r>
      <w:r w:rsidRPr="006F37C4">
        <w:rPr>
          <w:rFonts w:ascii="Arial" w:eastAsia="Times New Roman" w:hAnsi="Arial" w:cs="Arial"/>
          <w:i/>
          <w:iCs/>
          <w:sz w:val="26"/>
          <w:szCs w:val="26"/>
        </w:rPr>
        <w:fldChar w:fldCharType="end"/>
      </w:r>
      <w:bookmarkEnd w:id="7"/>
      <w:r w:rsidRPr="006F37C4">
        <w:rPr>
          <w:rFonts w:ascii="Arial" w:eastAsia="Times New Roman" w:hAnsi="Arial" w:cs="Arial"/>
          <w:i/>
          <w:iCs/>
          <w:sz w:val="26"/>
          <w:szCs w:val="26"/>
        </w:rPr>
        <w:t> ngày 25 tháng 11 năm 2019;</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8" w:name="tvpllink_gjzuaxcscq"/>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"https://thuvienphapluat.vn/van-ban/Bo-may-hanh-chinh/Luat-Si-quan-Quan-doi-nhan-dan-Viet-Nam-1999-16-1999-QH10-46063.aspx"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Sĩ quan Quân đội nhân dân Việt Nam</w:t>
      </w:r>
      <w:r w:rsidRPr="006F37C4">
        <w:rPr>
          <w:rFonts w:ascii="Arial" w:eastAsia="Times New Roman" w:hAnsi="Arial" w:cs="Arial"/>
          <w:i/>
          <w:iCs/>
          <w:sz w:val="26"/>
          <w:szCs w:val="26"/>
        </w:rPr>
        <w:fldChar w:fldCharType="end"/>
      </w:r>
      <w:bookmarkEnd w:id="8"/>
      <w:r w:rsidRPr="006F37C4">
        <w:rPr>
          <w:rFonts w:ascii="Arial" w:eastAsia="Times New Roman" w:hAnsi="Arial" w:cs="Arial"/>
          <w:i/>
          <w:iCs/>
          <w:sz w:val="26"/>
          <w:szCs w:val="26"/>
        </w:rPr>
        <w:t> ngày 21 tháng 12 năm 1999; </w:t>
      </w:r>
      <w:bookmarkStart w:id="9" w:name="tvpllink_mugihpsmmc"/>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"https://thuvienphapluat.vn/van-ban/Bo-may-hanh-chinh/Luat-si-quan-Quan-doi-nhan-dan-Viet-Nam-2008-sua-doi-19-2008-QH12-66965.aspx"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sửa đổi, bổ sung một số điều của Luật Sĩ quan Quân đội nhân dân Việt Nam</w:t>
      </w:r>
      <w:r w:rsidRPr="006F37C4">
        <w:rPr>
          <w:rFonts w:ascii="Arial" w:eastAsia="Times New Roman" w:hAnsi="Arial" w:cs="Arial"/>
          <w:i/>
          <w:iCs/>
          <w:sz w:val="26"/>
          <w:szCs w:val="26"/>
        </w:rPr>
        <w:fldChar w:fldCharType="end"/>
      </w:r>
      <w:bookmarkEnd w:id="9"/>
      <w:r w:rsidRPr="006F37C4">
        <w:rPr>
          <w:rFonts w:ascii="Arial" w:eastAsia="Times New Roman" w:hAnsi="Arial" w:cs="Arial"/>
          <w:i/>
          <w:iCs/>
          <w:sz w:val="26"/>
          <w:szCs w:val="26"/>
        </w:rPr>
        <w:t> ngày 03 tháng 6 năm 2008; </w:t>
      </w:r>
      <w:bookmarkStart w:id="10" w:name="tvpllink_hbgidtyduh"/>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"https://thuvienphapluat.vn/van-ban/Bo-may-hanh-chinh/Luat-si-quan-Quan-doi-nhan-dan-Viet-Nam-sua-doi-2014-260647.aspx"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sửa đổi, bổ sung một số điều của Luật Sĩ quan Quân đội nhân dân Việt Nam</w:t>
      </w:r>
      <w:r w:rsidRPr="006F37C4">
        <w:rPr>
          <w:rFonts w:ascii="Arial" w:eastAsia="Times New Roman" w:hAnsi="Arial" w:cs="Arial"/>
          <w:i/>
          <w:iCs/>
          <w:sz w:val="26"/>
          <w:szCs w:val="26"/>
        </w:rPr>
        <w:fldChar w:fldCharType="end"/>
      </w:r>
      <w:bookmarkEnd w:id="10"/>
      <w:r w:rsidRPr="006F37C4">
        <w:rPr>
          <w:rFonts w:ascii="Arial" w:eastAsia="Times New Roman" w:hAnsi="Arial" w:cs="Arial"/>
          <w:i/>
          <w:iCs/>
          <w:sz w:val="26"/>
          <w:szCs w:val="26"/>
        </w:rPr>
        <w:t> ngày 27 tháng 11 năm 2014; </w:t>
      </w:r>
      <w:bookmarkStart w:id="11" w:name="tvpllink_bkrvapcxlk"/>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"https://thuvienphapluat.vn/van-ban/Bo-may-hanh-chinh/Luat-Si-quan-Quan-doi-nhan-dan-Viet-Nam-sua-doi-2024-so-52-2024-QH15-630032.aspx"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sửa đổi, bổ sung một số điều của Luật Sĩ quan Quân đội nhân dân Việt Nam</w:t>
      </w:r>
      <w:r w:rsidRPr="006F37C4">
        <w:rPr>
          <w:rFonts w:ascii="Arial" w:eastAsia="Times New Roman" w:hAnsi="Arial" w:cs="Arial"/>
          <w:i/>
          <w:iCs/>
          <w:sz w:val="26"/>
          <w:szCs w:val="26"/>
        </w:rPr>
        <w:fldChar w:fldCharType="end"/>
      </w:r>
      <w:bookmarkEnd w:id="11"/>
      <w:r w:rsidRPr="006F37C4">
        <w:rPr>
          <w:rFonts w:ascii="Arial" w:eastAsia="Times New Roman" w:hAnsi="Arial" w:cs="Arial"/>
          <w:i/>
          <w:iCs/>
          <w:sz w:val="26"/>
          <w:szCs w:val="26"/>
        </w:rPr>
        <w:t> ngày 28 tháng 11 năm 2024;</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12" w:name="tvpllink_hhnsnoftjd"/>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"https://thuvienphapluat.vn/van-ban/Bo-may-hanh-chinh/Luat-quan-nhan-chuyen-nghiep-cong-nhan-vien-chuc-quoc-phong-2015-298377.aspx"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Quân nhân chuyên nghiệp, công nhân và viên chức quốc phòng</w:t>
      </w:r>
      <w:r w:rsidRPr="006F37C4">
        <w:rPr>
          <w:rFonts w:ascii="Arial" w:eastAsia="Times New Roman" w:hAnsi="Arial" w:cs="Arial"/>
          <w:i/>
          <w:iCs/>
          <w:sz w:val="26"/>
          <w:szCs w:val="26"/>
        </w:rPr>
        <w:fldChar w:fldCharType="end"/>
      </w:r>
      <w:bookmarkEnd w:id="12"/>
      <w:r w:rsidRPr="006F37C4">
        <w:rPr>
          <w:rFonts w:ascii="Arial" w:eastAsia="Times New Roman" w:hAnsi="Arial" w:cs="Arial"/>
          <w:i/>
          <w:iCs/>
          <w:sz w:val="26"/>
          <w:szCs w:val="26"/>
        </w:rPr>
        <w:t> ngày 26 tháng 11 năm 2015;</w:t>
      </w:r>
    </w:p>
    <w:bookmarkStart w:id="13" w:name="tvpllink_ogpuvczgfe"/>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sz w:val="26"/>
          <w:szCs w:val="26"/>
        </w:rPr>
        <w:fldChar w:fldCharType="begin"/>
      </w:r>
      <w:r w:rsidRPr="006F37C4">
        <w:rPr>
          <w:rFonts w:ascii="Arial" w:eastAsia="Times New Roman" w:hAnsi="Arial" w:cs="Arial"/>
          <w:sz w:val="26"/>
          <w:szCs w:val="26"/>
        </w:rPr>
        <w:instrText xml:space="preserve"> HYPERLINK "https://thuvienphapluat.vn/van-ban/Bo-may-hanh-chinh/Luat-Cong-an-nhan-dan-384487.aspx" \t "_blank" </w:instrText>
      </w:r>
      <w:r w:rsidRPr="006F37C4">
        <w:rPr>
          <w:rFonts w:ascii="Arial" w:eastAsia="Times New Roman" w:hAnsi="Arial" w:cs="Arial"/>
          <w:sz w:val="26"/>
          <w:szCs w:val="26"/>
        </w:rPr>
        <w:fldChar w:fldCharType="separate"/>
      </w:r>
      <w:r w:rsidRPr="006F37C4">
        <w:rPr>
          <w:rFonts w:ascii="Arial" w:eastAsia="Times New Roman" w:hAnsi="Arial" w:cs="Arial"/>
          <w:i/>
          <w:iCs/>
          <w:sz w:val="26"/>
          <w:szCs w:val="26"/>
        </w:rPr>
        <w:t>Luật Công an nhân dân</w:t>
      </w:r>
      <w:r w:rsidRPr="006F37C4">
        <w:rPr>
          <w:rFonts w:ascii="Arial" w:eastAsia="Times New Roman" w:hAnsi="Arial" w:cs="Arial"/>
          <w:sz w:val="26"/>
          <w:szCs w:val="26"/>
        </w:rPr>
        <w:fldChar w:fldCharType="end"/>
      </w:r>
      <w:bookmarkEnd w:id="13"/>
      <w:r w:rsidRPr="006F37C4">
        <w:rPr>
          <w:rFonts w:ascii="Arial" w:eastAsia="Times New Roman" w:hAnsi="Arial" w:cs="Arial"/>
          <w:i/>
          <w:iCs/>
          <w:sz w:val="26"/>
          <w:szCs w:val="26"/>
        </w:rPr>
        <w:t> ngày 20 tháng 11 năm 2018; </w:t>
      </w:r>
      <w:bookmarkStart w:id="14" w:name="tvpllink_owfqxmigmu"/>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"https://thuvienphapluat.vn/van-ban/Bo-may-hanh-chinh/Luat-Cong-an-nhan-dan-sua-doi-2023-21-2023-QH15-552424.aspx"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sửa đổi, bổ sung một số điều của Luật Công an nhân dân</w:t>
      </w:r>
      <w:r w:rsidRPr="006F37C4">
        <w:rPr>
          <w:rFonts w:ascii="Arial" w:eastAsia="Times New Roman" w:hAnsi="Arial" w:cs="Arial"/>
          <w:i/>
          <w:iCs/>
          <w:sz w:val="26"/>
          <w:szCs w:val="26"/>
        </w:rPr>
        <w:fldChar w:fldCharType="end"/>
      </w:r>
      <w:bookmarkEnd w:id="14"/>
      <w:r w:rsidRPr="006F37C4">
        <w:rPr>
          <w:rFonts w:ascii="Arial" w:eastAsia="Times New Roman" w:hAnsi="Arial" w:cs="Arial"/>
          <w:i/>
          <w:iCs/>
          <w:sz w:val="26"/>
          <w:szCs w:val="26"/>
        </w:rPr>
        <w:t> ngày 22 tháng 6 năm 2023;</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15" w:name="tvpllink_cdsqhkxstz"/>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"https://thuvienphapluat.vn/van-ban/Bao-hiem/Luat-Bao-hiem-xa-hoi-2014-259700.aspx"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Bảo hiểm xã hội</w:t>
      </w:r>
      <w:r w:rsidRPr="006F37C4">
        <w:rPr>
          <w:rFonts w:ascii="Arial" w:eastAsia="Times New Roman" w:hAnsi="Arial" w:cs="Arial"/>
          <w:i/>
          <w:iCs/>
          <w:sz w:val="26"/>
          <w:szCs w:val="26"/>
        </w:rPr>
        <w:fldChar w:fldCharType="end"/>
      </w:r>
      <w:bookmarkEnd w:id="15"/>
      <w:r w:rsidRPr="006F37C4">
        <w:rPr>
          <w:rFonts w:ascii="Arial" w:eastAsia="Times New Roman" w:hAnsi="Arial" w:cs="Arial"/>
          <w:i/>
          <w:iCs/>
          <w:sz w:val="26"/>
          <w:szCs w:val="26"/>
        </w:rPr>
        <w:t> ngày 20 tháng 11 năm 2014;</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16" w:name="tvpllink_ehuytmxlsc"/>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"https://thuvienphapluat.vn/van-ban/Lao-dong-Tien-luong/Luat-viec-lam-nam-2013-215628.aspx"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Việc làm</w:t>
      </w:r>
      <w:r w:rsidRPr="006F37C4">
        <w:rPr>
          <w:rFonts w:ascii="Arial" w:eastAsia="Times New Roman" w:hAnsi="Arial" w:cs="Arial"/>
          <w:i/>
          <w:iCs/>
          <w:sz w:val="26"/>
          <w:szCs w:val="26"/>
        </w:rPr>
        <w:fldChar w:fldCharType="end"/>
      </w:r>
      <w:bookmarkEnd w:id="16"/>
      <w:r w:rsidRPr="006F37C4">
        <w:rPr>
          <w:rFonts w:ascii="Arial" w:eastAsia="Times New Roman" w:hAnsi="Arial" w:cs="Arial"/>
          <w:i/>
          <w:iCs/>
          <w:sz w:val="26"/>
          <w:szCs w:val="26"/>
        </w:rPr>
        <w:t> ngày 16 tháng 11 năm 2013;</w:t>
      </w:r>
    </w:p>
    <w:p w:rsidR="006F37C4" w:rsidRPr="006F37C4" w:rsidRDefault="006F37C4" w:rsidP="006F37C4">
      <w:pPr>
        <w:shd w:val="clear" w:color="auto" w:fill="FFFFFF"/>
        <w:spacing w:after="0" w:line="234" w:lineRule="atLeast"/>
        <w:ind w:firstLine="720"/>
        <w:jc w:val="both"/>
        <w:rPr>
          <w:rFonts w:ascii="Arial" w:eastAsia="Times New Roman" w:hAnsi="Arial" w:cs="Arial"/>
          <w:sz w:val="26"/>
          <w:szCs w:val="26"/>
        </w:rPr>
      </w:pPr>
      <w:r w:rsidRPr="006F37C4">
        <w:rPr>
          <w:rFonts w:ascii="Arial" w:eastAsia="Times New Roman" w:hAnsi="Arial" w:cs="Arial"/>
          <w:i/>
          <w:iCs/>
          <w:sz w:val="26"/>
          <w:szCs w:val="26"/>
        </w:rPr>
        <w:t>Căn cứ </w:t>
      </w:r>
      <w:bookmarkStart w:id="17" w:name="tvpllink_mqzjvkhjyn"/>
      <w:r w:rsidRPr="006F37C4">
        <w:rPr>
          <w:rFonts w:ascii="Arial" w:eastAsia="Times New Roman" w:hAnsi="Arial" w:cs="Arial"/>
          <w:i/>
          <w:iCs/>
          <w:sz w:val="26"/>
          <w:szCs w:val="26"/>
        </w:rPr>
        <w:fldChar w:fldCharType="begin"/>
      </w:r>
      <w:r w:rsidRPr="006F37C4">
        <w:rPr>
          <w:rFonts w:ascii="Arial" w:eastAsia="Times New Roman" w:hAnsi="Arial" w:cs="Arial"/>
          <w:i/>
          <w:iCs/>
          <w:sz w:val="26"/>
          <w:szCs w:val="26"/>
        </w:rPr>
        <w:instrText xml:space="preserve"> HYPERLINK "https://thuvienphapluat.vn/van-ban/Linh-vuc-khac/Luat-Thi-dua-Khen-thuong-2022-418232.aspx" \t "_blank" </w:instrText>
      </w:r>
      <w:r w:rsidRPr="006F37C4">
        <w:rPr>
          <w:rFonts w:ascii="Arial" w:eastAsia="Times New Roman" w:hAnsi="Arial" w:cs="Arial"/>
          <w:i/>
          <w:iCs/>
          <w:sz w:val="26"/>
          <w:szCs w:val="26"/>
        </w:rPr>
        <w:fldChar w:fldCharType="separate"/>
      </w:r>
      <w:r w:rsidRPr="006F37C4">
        <w:rPr>
          <w:rFonts w:ascii="Arial" w:eastAsia="Times New Roman" w:hAnsi="Arial" w:cs="Arial"/>
          <w:i/>
          <w:iCs/>
          <w:sz w:val="26"/>
          <w:szCs w:val="26"/>
        </w:rPr>
        <w:t>Luật Thi đua, khen thưởng</w:t>
      </w:r>
      <w:r w:rsidRPr="006F37C4">
        <w:rPr>
          <w:rFonts w:ascii="Arial" w:eastAsia="Times New Roman" w:hAnsi="Arial" w:cs="Arial"/>
          <w:i/>
          <w:iCs/>
          <w:sz w:val="26"/>
          <w:szCs w:val="26"/>
        </w:rPr>
        <w:fldChar w:fldCharType="end"/>
      </w:r>
      <w:bookmarkEnd w:id="17"/>
      <w:r w:rsidRPr="006F37C4">
        <w:rPr>
          <w:rFonts w:ascii="Arial" w:eastAsia="Times New Roman" w:hAnsi="Arial" w:cs="Arial"/>
          <w:i/>
          <w:iCs/>
          <w:sz w:val="26"/>
          <w:szCs w:val="26"/>
        </w:rPr>
        <w:t> ngày 15 tháng 6 năm 2022;</w:t>
      </w:r>
    </w:p>
    <w:p w:rsidR="006F37C4" w:rsidRPr="006F37C4" w:rsidRDefault="006F37C4" w:rsidP="006F37C4">
      <w:pPr>
        <w:shd w:val="clear" w:color="auto" w:fill="FFFFFF"/>
        <w:spacing w:before="120" w:after="120" w:line="234" w:lineRule="atLeast"/>
        <w:ind w:firstLine="720"/>
        <w:jc w:val="both"/>
        <w:rPr>
          <w:rFonts w:ascii="Arial" w:eastAsia="Times New Roman" w:hAnsi="Arial" w:cs="Arial"/>
          <w:color w:val="000000"/>
          <w:sz w:val="26"/>
          <w:szCs w:val="26"/>
        </w:rPr>
      </w:pPr>
      <w:r w:rsidRPr="006F37C4">
        <w:rPr>
          <w:rFonts w:ascii="Arial" w:eastAsia="Times New Roman" w:hAnsi="Arial" w:cs="Arial"/>
          <w:i/>
          <w:iCs/>
          <w:color w:val="000000"/>
          <w:sz w:val="26"/>
          <w:szCs w:val="26"/>
        </w:rPr>
        <w:t>Theo đề nghị của Bộ trưởng Bộ Nội vụ;</w:t>
      </w:r>
    </w:p>
    <w:p w:rsidR="006F37C4" w:rsidRPr="006F37C4" w:rsidRDefault="006F37C4" w:rsidP="006F37C4">
      <w:pPr>
        <w:shd w:val="clear" w:color="auto" w:fill="FFFFFF"/>
        <w:spacing w:before="120" w:after="120" w:line="234" w:lineRule="atLeast"/>
        <w:ind w:firstLine="720"/>
        <w:jc w:val="both"/>
        <w:rPr>
          <w:rFonts w:ascii="Arial" w:eastAsia="Times New Roman" w:hAnsi="Arial" w:cs="Arial"/>
          <w:color w:val="000000"/>
          <w:sz w:val="26"/>
          <w:szCs w:val="26"/>
        </w:rPr>
      </w:pPr>
      <w:r w:rsidRPr="006F37C4">
        <w:rPr>
          <w:rFonts w:ascii="Arial" w:eastAsia="Times New Roman" w:hAnsi="Arial" w:cs="Arial"/>
          <w:i/>
          <w:iCs/>
          <w:color w:val="000000"/>
          <w:sz w:val="26"/>
          <w:szCs w:val="26"/>
        </w:rPr>
        <w:t>Chính phủ ban hành Nghị định về chính sách, chế độ đối với cán bộ, công chức, viên chức, người lao động và lực lượng vũ trang trong thực hiện sắp xếp tổ chức bộ máy của hệ thống chính trị.</w:t>
      </w:r>
    </w:p>
    <w:p w:rsidR="006F37C4" w:rsidRPr="006F37C4" w:rsidRDefault="006F37C4" w:rsidP="006F37C4">
      <w:pPr>
        <w:shd w:val="clear" w:color="auto" w:fill="FFFFFF"/>
        <w:spacing w:after="0" w:line="234" w:lineRule="atLeast"/>
        <w:jc w:val="center"/>
        <w:rPr>
          <w:rFonts w:ascii="Arial" w:eastAsia="Times New Roman" w:hAnsi="Arial" w:cs="Arial"/>
          <w:color w:val="000000"/>
          <w:sz w:val="26"/>
          <w:szCs w:val="26"/>
        </w:rPr>
      </w:pPr>
      <w:bookmarkStart w:id="18" w:name="chuong_1"/>
      <w:r w:rsidRPr="006F37C4">
        <w:rPr>
          <w:rFonts w:ascii="Arial" w:eastAsia="Times New Roman" w:hAnsi="Arial" w:cs="Arial"/>
          <w:b/>
          <w:bCs/>
          <w:color w:val="000000"/>
          <w:sz w:val="26"/>
          <w:szCs w:val="26"/>
        </w:rPr>
        <w:t>Chương I</w:t>
      </w:r>
      <w:bookmarkEnd w:id="18"/>
    </w:p>
    <w:p w:rsidR="006F37C4" w:rsidRPr="006F37C4" w:rsidRDefault="006F37C4" w:rsidP="006F37C4">
      <w:pPr>
        <w:shd w:val="clear" w:color="auto" w:fill="FFFFFF"/>
        <w:spacing w:after="0" w:line="234" w:lineRule="atLeast"/>
        <w:jc w:val="center"/>
        <w:rPr>
          <w:rFonts w:ascii="Arial" w:eastAsia="Times New Roman" w:hAnsi="Arial" w:cs="Arial"/>
          <w:color w:val="000000"/>
          <w:sz w:val="26"/>
          <w:szCs w:val="26"/>
        </w:rPr>
      </w:pPr>
      <w:bookmarkStart w:id="19" w:name="chuong_1_name"/>
      <w:r w:rsidRPr="006F37C4">
        <w:rPr>
          <w:rFonts w:ascii="Arial" w:eastAsia="Times New Roman" w:hAnsi="Arial" w:cs="Arial"/>
          <w:b/>
          <w:bCs/>
          <w:color w:val="000000"/>
          <w:sz w:val="26"/>
          <w:szCs w:val="26"/>
        </w:rPr>
        <w:t>QUY ĐỊNH CHUNG</w:t>
      </w:r>
      <w:bookmarkEnd w:id="19"/>
    </w:p>
    <w:p w:rsidR="006F37C4" w:rsidRPr="006F37C4" w:rsidRDefault="006F37C4" w:rsidP="006F37C4">
      <w:pPr>
        <w:shd w:val="clear" w:color="auto" w:fill="FFFFFF"/>
        <w:spacing w:after="0" w:line="234" w:lineRule="atLeast"/>
        <w:jc w:val="center"/>
        <w:rPr>
          <w:rFonts w:ascii="Arial" w:eastAsia="Times New Roman" w:hAnsi="Arial" w:cs="Arial"/>
          <w:color w:val="000000"/>
          <w:sz w:val="26"/>
          <w:szCs w:val="26"/>
        </w:rPr>
      </w:pPr>
      <w:bookmarkStart w:id="20" w:name="dieu_1"/>
      <w:r w:rsidRPr="006F37C4">
        <w:rPr>
          <w:rFonts w:ascii="Arial" w:eastAsia="Times New Roman" w:hAnsi="Arial" w:cs="Arial"/>
          <w:b/>
          <w:bCs/>
          <w:color w:val="000000"/>
          <w:sz w:val="26"/>
          <w:szCs w:val="26"/>
        </w:rPr>
        <w:t>Điều 1. Phạm vi điều chỉnh</w:t>
      </w:r>
      <w:bookmarkEnd w:id="20"/>
    </w:p>
    <w:p w:rsidR="006F37C4" w:rsidRPr="006F37C4" w:rsidRDefault="006F37C4" w:rsidP="006F37C4">
      <w:pPr>
        <w:shd w:val="clear" w:color="auto" w:fill="FFFFFF"/>
        <w:spacing w:before="120" w:after="120" w:line="234" w:lineRule="atLeast"/>
        <w:ind w:firstLine="720"/>
        <w:jc w:val="both"/>
        <w:rPr>
          <w:rFonts w:ascii="Arial" w:eastAsia="Times New Roman" w:hAnsi="Arial" w:cs="Arial"/>
          <w:color w:val="000000"/>
          <w:sz w:val="26"/>
          <w:szCs w:val="26"/>
        </w:rPr>
      </w:pPr>
      <w:r w:rsidRPr="006F37C4">
        <w:rPr>
          <w:rFonts w:ascii="Arial" w:eastAsia="Times New Roman" w:hAnsi="Arial" w:cs="Arial"/>
          <w:color w:val="000000"/>
          <w:sz w:val="26"/>
          <w:szCs w:val="26"/>
        </w:rPr>
        <w:t xml:space="preserve">Nghị định này quy định chính sách, chế độ, gồm: Chính sách đối với người nghỉ việc (nghỉ hưu và nghỉ thôi việc); chính sách đối với người thôi giữ chức vụ lãnh đạo, quản lý hoặc được bầu cử, bổ nhiệm chức danh lãnh đạo, quản lý thấp </w:t>
      </w:r>
      <w:r w:rsidRPr="006F37C4">
        <w:rPr>
          <w:rFonts w:ascii="Arial" w:eastAsia="Times New Roman" w:hAnsi="Arial" w:cs="Arial"/>
          <w:color w:val="000000"/>
          <w:sz w:val="26"/>
          <w:szCs w:val="26"/>
        </w:rPr>
        <w:lastRenderedPageBreak/>
        <w:t>hơn; chính sách tăng cường đi công tác ở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của Đảng, Nhà nước, Mặt trận Tổ quốc Việt Nam, tổ chức chính trị - xã hội từ trung ương đến cấp huyện; cán bộ, công chức cấp xã; lực lượng vũ trang (gồm Quân đội nhân dân, Công an nhân dân và cơ yếu) trong quá trình sắp xếp tổ chức bộ máy, đơn vị hành chính các cấp của hệ thống chính trị, gồm:</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Cơ quan của Đảng Cộng sản Việt Nam, Nhà nước, Mặt trận Tổ quốc Việt Nam, tổ chức chính trị - xã hội ở trung ương, ở cấp tỉnh, ở cấp huyện; cán bộ, công chức cấp xã và lực lượng vũ trang.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Các đơn vị sự nghiệp công lập thuộc cơ cấu tổ chức của các cơ quan tham mưu, giúp việc của Ban Chấp hành Trung ương, Bộ Chính trị, Ban Bí thư; của các bộ, ngành, cơ quan ở trung ương; thuộc Ủy ban nhân dân cấp tỉnh và các cơ quan chuyên môn thuộc Ủy ban nhân dân cấp tỉnh, thuộc Ủy ban nhân dân cấp huyện.</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Đơn vị sự nghiệp công lập khác (không thuộc quy định tại khoản 2 Điều này) hoàn thành việc sắp xếp tổ chức hoặc cơ cấu lại nhân lực của đơn vị trong thời gian 12 tháng kể từ khi có quyết định của cấp có thẩm quyền.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21" w:name="dieu_2"/>
      <w:r w:rsidRPr="006F37C4">
        <w:rPr>
          <w:rFonts w:ascii="Arial" w:eastAsia="Times New Roman" w:hAnsi="Arial" w:cs="Arial"/>
          <w:b/>
          <w:bCs/>
          <w:color w:val="000000"/>
          <w:sz w:val="26"/>
          <w:szCs w:val="26"/>
        </w:rPr>
        <w:t>Điều 2. Đối tượng áp dụng</w:t>
      </w:r>
      <w:bookmarkEnd w:id="21"/>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Cán bộ, công chức, viên chức, người làm việc theo chế độ hợp đồng lao động trong các cơ quan, tổ chức, đơn vị và lực lượng vũ trang do sắp xếp tổ chức bộ máy, đơn vị hành chính các cấp (sau đây viết tắt là sắp xếp tổ chức bộ máy) quy định tại </w:t>
      </w:r>
      <w:bookmarkStart w:id="22" w:name="tc_1"/>
      <w:r w:rsidRPr="006F37C4">
        <w:rPr>
          <w:rFonts w:ascii="Arial" w:eastAsia="Times New Roman" w:hAnsi="Arial" w:cs="Arial"/>
          <w:color w:val="000000"/>
          <w:sz w:val="26"/>
          <w:szCs w:val="26"/>
        </w:rPr>
        <w:t>Điều 1 Nghị định này</w:t>
      </w:r>
      <w:bookmarkEnd w:id="22"/>
      <w:r w:rsidRPr="006F37C4">
        <w:rPr>
          <w:rFonts w:ascii="Arial" w:eastAsia="Times New Roman" w:hAnsi="Arial" w:cs="Arial"/>
          <w:color w:val="000000"/>
          <w:sz w:val="26"/>
          <w:szCs w:val="26"/>
        </w:rPr>
        <w:t>, bao gồm:</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Cán bộ, công chức, viên chức lãnh đạo, quản lý và công chức, viên chức;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Cán bộ, công chức cấp xã;</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 Người làm việc 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d) Sĩ quan, quân nhân chuyên nghiệp, công nhân và viên chức quốc phòng thuộc Quân đội nhân dân Việt Nam;</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 Sĩ quan, hạ sĩ quan hưởng lương, công nhân công an và lao động hợp đồng hưởng lương từ ngân sách nhà nước thuộc Công an nhân dân;</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e) Người làm việc trong tổ chức cơ yếu.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Cán bộ không đủ điều kiện về tuổi tái cử, tái bổ nhiệm giữ các chức vụ, chức danh theo nhiệm kỳ trong cơ quan của Đảng Cộng sản Việt Nam, Nhà nước, tổ chức chính trị - xã hội và cán bộ nghỉ thôi việc theo nguyện vọng thực hiện theo quy định tại Nghị định khác của Chính phủ.</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23" w:name="dieu_3"/>
      <w:r w:rsidRPr="006F37C4">
        <w:rPr>
          <w:rFonts w:ascii="Arial" w:eastAsia="Times New Roman" w:hAnsi="Arial" w:cs="Arial"/>
          <w:b/>
          <w:bCs/>
          <w:color w:val="000000"/>
          <w:sz w:val="26"/>
          <w:szCs w:val="26"/>
        </w:rPr>
        <w:t>Điều 3. Nguyên tắc thực hiện chính sách, chế độ</w:t>
      </w:r>
      <w:bookmarkEnd w:id="23"/>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lastRenderedPageBreak/>
        <w:t>1. Bảo đảm sự lãnh đạo của Đảng, phát huy vai trò giám sát của Mặt trận Tổ quốc Việt Nam và các tổ chức chính trị - xã hội và Nhân dân trong quá trình thực hiện chính sách, chế độ.</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Bảo đảm nguyên tắc tập trung dân chủ, khách quan, công bằng, công khai, minh bạch và theo quy định của pháp luật.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Bảo đảm chậm nhất sau 05 năm kể từ ngày quyết định sắp xếp tổ chức bộ máy của cấp có thẩm quyền có hiệu lực thi hành thì số lượng cán bộ lãnh đạo, quản lý và số lượng cán bộ, công chức, viên chức, người lao động ở các cơ quan, tổ chức đơn vị trong hệ thống chính trị sau sắp xếp theo đúng quy định.</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Bảo đảm chi trả chính sách, chế độ kịp thời, đầy đủ theo quy định của pháp luật; sử dụng đúng, hiệu quả ngân sách nhà nước.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5. Từng cơ quan, tổ chức, đơn vị phải thực hiện rà soát, đánh giá tổng thể cán bộ, công chức, viên chức và người lao động công tâm, khách quan trên cơ sở đánh giá phẩm chất, năng lực, kết quả thực hiện và mức độ hoàn thành nhiệm vụ theo yêu cầu vị trí việc làm của cán bộ, công chức, viên chức và người lao động; trên cơ sở đó thực hiện sắp xếp, tinh giản biên chế và thực hiện chính sách, chế độ đối với cán bộ, công chức, viên chức và người lao động.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6. Tập thể lãnh đạo cấp ủy, chính quyền và người đứng đầu cơ quan, tổ chức, đơn vị chịu trách nhiệm trong đánh giá, sàng lọc, lựa chọn đối tượng nghỉ việc gắn với việc cơ cấu và nâng cao chất lượng đội ngũ cán bộ, công chức, viên chức thuộc phạm vi quản lý để cơ quan, tổ chức, đơn vị hoạt động hiệu năng, hiệu lực, hiệu quả.</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7. Một đối tượng đủ điều kiện hưởng nhiều chính sách, chế độ quy định tại các văn bản khác nhau thì chỉ được hưởng một chính sách, chế độ cao nhất.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8. Các bộ, ban, ngành ở trung ương và các cơ quan, tổ chức, đơn vị ở cấp tỉnh phải cử khoảng 5% cán bộ, công chức, viên chức trong biên chế của cơ quan, tổ chức, đơn vị đi công tác ở cơ sở.</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24" w:name="dieu_4"/>
      <w:r w:rsidRPr="006F37C4">
        <w:rPr>
          <w:rFonts w:ascii="Arial" w:eastAsia="Times New Roman" w:hAnsi="Arial" w:cs="Arial"/>
          <w:b/>
          <w:bCs/>
          <w:color w:val="000000"/>
          <w:sz w:val="26"/>
          <w:szCs w:val="26"/>
        </w:rPr>
        <w:t>Điều 4. Các trường hợp chưa xem xét nghỉ việc</w:t>
      </w:r>
      <w:bookmarkEnd w:id="24"/>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Đối tượng quy định tại </w:t>
      </w:r>
      <w:bookmarkStart w:id="25" w:name="tc_2"/>
      <w:r w:rsidRPr="006F37C4">
        <w:rPr>
          <w:rFonts w:ascii="Arial" w:eastAsia="Times New Roman" w:hAnsi="Arial" w:cs="Arial"/>
          <w:color w:val="000000"/>
          <w:sz w:val="26"/>
          <w:szCs w:val="26"/>
        </w:rPr>
        <w:t>khoản 1 Điều 2 Nghị định này</w:t>
      </w:r>
      <w:bookmarkEnd w:id="25"/>
      <w:r w:rsidRPr="006F37C4">
        <w:rPr>
          <w:rFonts w:ascii="Arial" w:eastAsia="Times New Roman" w:hAnsi="Arial" w:cs="Arial"/>
          <w:color w:val="000000"/>
          <w:sz w:val="26"/>
          <w:szCs w:val="26"/>
        </w:rPr>
        <w:t> là nữ đang trong thời gian mang thai, nghỉ thai sản, đang nuôi con dưới 36 tháng tuổi, trừ trường hợp cá nhân tự nguyện nghỉ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Những người đang trong thời gian xem xét kỷ luật hoặc truy cứu trách nhiệm hình sự hoặc bị thanh tra, kiểm tra do có dấu hiệu vi phạm.</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26" w:name="dieu_5"/>
      <w:r w:rsidRPr="006F37C4">
        <w:rPr>
          <w:rFonts w:ascii="Arial" w:eastAsia="Times New Roman" w:hAnsi="Arial" w:cs="Arial"/>
          <w:b/>
          <w:bCs/>
          <w:color w:val="000000"/>
          <w:sz w:val="26"/>
          <w:szCs w:val="26"/>
        </w:rPr>
        <w:t>Điều 5. Cách xác định thời gian và tiền lương để tính hưởng chính sách,chế độ</w:t>
      </w:r>
      <w:bookmarkEnd w:id="26"/>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Thời gian nghỉ sớm để tính số tháng hưởng chế độ trợ cấp hưu trí một lần là thời gian kể từ thời điểm nghỉ hưu ghi tại quyết định nghỉ hưu đến tuổi nghỉ hưu quy định tại Phụ lục I và Phụ lục II Nghị định số </w:t>
      </w:r>
      <w:bookmarkStart w:id="27" w:name="tvpllink_xsdmbercve"/>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27"/>
      <w:r w:rsidRPr="006F37C4">
        <w:rPr>
          <w:rFonts w:ascii="Arial" w:eastAsia="Times New Roman" w:hAnsi="Arial" w:cs="Arial"/>
          <w:color w:val="000000"/>
          <w:sz w:val="26"/>
          <w:szCs w:val="26"/>
        </w:rPr>
        <w:t> ngày 18 tháng 11 năm 2020 của Chính phủ, tối đa 5 năm (60 tháng).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Thời gian để tính trợ cấp thôi việc là thời gian công tác có đóng bảo hiểm xã hội bắt buộc trong các cơ quan của Đảng, Nhà nước, tổ chức chính trị - xã hội và lực lượng vũ trang quy định tại </w:t>
      </w:r>
      <w:bookmarkStart w:id="28" w:name="tc_3"/>
      <w:r w:rsidRPr="006F37C4">
        <w:rPr>
          <w:rFonts w:ascii="Arial" w:eastAsia="Times New Roman" w:hAnsi="Arial" w:cs="Arial"/>
          <w:color w:val="000000"/>
          <w:sz w:val="26"/>
          <w:szCs w:val="26"/>
        </w:rPr>
        <w:t>Điều 1 Nghị định này</w:t>
      </w:r>
      <w:bookmarkEnd w:id="28"/>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lastRenderedPageBreak/>
        <w:t>a) Trường hợp thời gian công tác có đóng bảo hiểm xã hội bắt buộc từ đủ 05 năm trở lên thì thời gian tính hưởng trợ cấp thôi việc tối đa 05 năm (60 tháng).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Trường hợp thời gian công tác có đóng bảo hiểm xã hội bắt buộc dưới 05 năm thì thời gian tính hưởng trợ cấp thôi việc bằng thời gian công tác có đóng bảo hiểm xã hội bắt buộc.</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Thời gian để tính trợ cấp theo số năm công tác có đóng bảo hiểm xã hội quy định tại </w:t>
      </w:r>
      <w:bookmarkStart w:id="29" w:name="tc_4"/>
      <w:r w:rsidRPr="006F37C4">
        <w:rPr>
          <w:rFonts w:ascii="Arial" w:eastAsia="Times New Roman" w:hAnsi="Arial" w:cs="Arial"/>
          <w:color w:val="000000"/>
          <w:sz w:val="26"/>
          <w:szCs w:val="26"/>
        </w:rPr>
        <w:t>điểm a, điểm b và điểm c khoản 2 Điều 7, khoản 2 Điều 9 và khoản 2 Điều 10 Nghị định này</w:t>
      </w:r>
      <w:bookmarkEnd w:id="29"/>
      <w:r w:rsidRPr="006F37C4">
        <w:rPr>
          <w:rFonts w:ascii="Arial" w:eastAsia="Times New Roman" w:hAnsi="Arial" w:cs="Arial"/>
          <w:color w:val="000000"/>
          <w:sz w:val="26"/>
          <w:szCs w:val="26"/>
        </w:rPr>
        <w:t> là tổng thời gian công tác có đóng bảo hiểm xã hội bắt buộc (theo sổ bảo hiểm xã hội của mỗi người) nhưng chưa hưởng trợ cấp thôi việc, mất việc làm hoặc chưa hưởng chế độ bảo hiểm xã hội một lần hoặc chưa hưởng chế độ phục viên, xuất ngũ. Trường hợp tổng thời gian để tính trợ cấp có tháng lẻ thì được tính tròn theo nguyên tắc: từ 01 tháng đến đủ 06 tháng tính là 0,5 năm; từ trên 06 tháng đến dưới 12 tháng tính tròn là 01 năm.</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Thời gian để tính trợ cấp theo số năm nghỉ hưu trước tuổi quy định tại </w:t>
      </w:r>
      <w:bookmarkStart w:id="30" w:name="tc_5"/>
      <w:r w:rsidRPr="006F37C4">
        <w:rPr>
          <w:rFonts w:ascii="Arial" w:eastAsia="Times New Roman" w:hAnsi="Arial" w:cs="Arial"/>
          <w:color w:val="000000"/>
          <w:sz w:val="26"/>
          <w:szCs w:val="26"/>
        </w:rPr>
        <w:t>điểm a, điểm b và điểm c khoản 2 Điều 7 Nghị định này</w:t>
      </w:r>
      <w:bookmarkEnd w:id="30"/>
      <w:r w:rsidRPr="006F37C4">
        <w:rPr>
          <w:rFonts w:ascii="Arial" w:eastAsia="Times New Roman" w:hAnsi="Arial" w:cs="Arial"/>
          <w:color w:val="000000"/>
          <w:sz w:val="26"/>
          <w:szCs w:val="26"/>
        </w:rPr>
        <w:t>, nếu có số tháng lẻ thì được tính tròn theo nguyên tắc: từ 01 tháng đến đủ 06 tháng tính là 0,5 năm; từ trên 06 tháng đến dưới 12 tháng tính tròn là 01 năm.</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5. Thời điểm được dùng làm căn cứ để tính đủ tuổi đời hưởng chính sách, chế độ nghỉ việc là ngày 01 tháng sau liền kề với tháng sinh; trường hợp trong hồ sơ không xác định ngày, tháng sinh trong năm thì lấy ngày 01 tháng 01 của năm sinh.</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và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31" w:name="dieu_6"/>
      <w:r w:rsidRPr="006F37C4">
        <w:rPr>
          <w:rFonts w:ascii="Arial" w:eastAsia="Times New Roman" w:hAnsi="Arial" w:cs="Arial"/>
          <w:b/>
          <w:bCs/>
          <w:color w:val="000000"/>
          <w:sz w:val="26"/>
          <w:szCs w:val="26"/>
        </w:rPr>
        <w:t>Điều 6. Tiêu chí đánh giá cán bộ, công chức, viên chức và người lao động để thực hiện sắp xếp và giải quyết chính sách, chế độ</w:t>
      </w:r>
      <w:bookmarkEnd w:id="31"/>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Tập thể cấp ủy, chính quyền và người đứng đầu từng cơ quan, tổ chức, đơn vị phai thực hiện rà soát, đánh giá đối với tất cả cán bộ, công chức, viên chức và người lao động thuộc phạm vi quản lý dựa trên kết quả thực hiện nhiệm vụ trong 03 năm gần nhất theo các tiêu chí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Tiêu chí đánh giá về phẩm chất đạo đức, tinh thần trách nhiệm, ý thức kỷ luật, kỷ cương trong thực thi nhiệm vụ, công vụ của cán bộ, công chức, viên chức và người lao động.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Tiêu chí đánh giá về năng lực chuyên môn, nghiệp vụ; khả năng đáp ứng yêu cầu về tiến độ, thời gian, chất lượng thực thi nhiệm vụ, công vụ thường xuyên và đột xuất.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Tiêu chí đánh giá về kết quả, sản phẩm công việc gắn với chức năng, nhiệm vụ của cơ quan, tổ chức, đơn vị mà cán bộ, công chức, viên chức và người lao động đã đạt được.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lastRenderedPageBreak/>
        <w:t>4. Đối với cán bộ, công chức, viên chức được đánh giá là người có phẩm chất, năng lực nổi trội thì phải đáp ứng 3 tiêu chí tại khoản 1, khoản 2 và khoản 3 Điều này, đồng thời phải bảo đảm tiêu chí đánh giá về đổi mới, sáng tạo, dám nghĩ, dám làm, dám chịu trách nhiệm vì lợi ích chung và có thành tích tiêu biểu, nổi trội, mang lại lợi ích cho cơ quan, tổ chức, đơn vị.</w:t>
      </w:r>
    </w:p>
    <w:p w:rsidR="006F37C4" w:rsidRPr="006F37C4" w:rsidRDefault="006F37C4" w:rsidP="006F37C4">
      <w:pPr>
        <w:shd w:val="clear" w:color="auto" w:fill="FFFFFF"/>
        <w:spacing w:after="0" w:line="234" w:lineRule="atLeast"/>
        <w:jc w:val="center"/>
        <w:rPr>
          <w:rFonts w:ascii="Arial" w:eastAsia="Times New Roman" w:hAnsi="Arial" w:cs="Arial"/>
          <w:color w:val="000000"/>
          <w:sz w:val="26"/>
          <w:szCs w:val="26"/>
        </w:rPr>
      </w:pPr>
      <w:bookmarkStart w:id="32" w:name="chuong_2"/>
      <w:r w:rsidRPr="006F37C4">
        <w:rPr>
          <w:rFonts w:ascii="Arial" w:eastAsia="Times New Roman" w:hAnsi="Arial" w:cs="Arial"/>
          <w:b/>
          <w:bCs/>
          <w:color w:val="000000"/>
          <w:sz w:val="26"/>
          <w:szCs w:val="26"/>
        </w:rPr>
        <w:t>Chương II</w:t>
      </w:r>
      <w:bookmarkEnd w:id="32"/>
    </w:p>
    <w:p w:rsidR="006F37C4" w:rsidRPr="006F37C4" w:rsidRDefault="006F37C4" w:rsidP="006F37C4">
      <w:pPr>
        <w:shd w:val="clear" w:color="auto" w:fill="FFFFFF"/>
        <w:spacing w:after="0" w:line="234" w:lineRule="atLeast"/>
        <w:jc w:val="center"/>
        <w:rPr>
          <w:rFonts w:ascii="Arial" w:eastAsia="Times New Roman" w:hAnsi="Arial" w:cs="Arial"/>
          <w:color w:val="000000"/>
          <w:sz w:val="26"/>
          <w:szCs w:val="26"/>
        </w:rPr>
      </w:pPr>
      <w:bookmarkStart w:id="33" w:name="chuong_2_name"/>
      <w:r w:rsidRPr="006F37C4">
        <w:rPr>
          <w:rFonts w:ascii="Arial" w:eastAsia="Times New Roman" w:hAnsi="Arial" w:cs="Arial"/>
          <w:b/>
          <w:bCs/>
          <w:color w:val="000000"/>
          <w:sz w:val="26"/>
          <w:szCs w:val="26"/>
        </w:rPr>
        <w:t>CHÍNH SÁCH, CHẾ ĐỘ</w:t>
      </w:r>
      <w:bookmarkEnd w:id="33"/>
    </w:p>
    <w:p w:rsidR="006F37C4" w:rsidRPr="006F37C4" w:rsidRDefault="006F37C4" w:rsidP="006F37C4">
      <w:pPr>
        <w:shd w:val="clear" w:color="auto" w:fill="FFFFFF"/>
        <w:spacing w:after="0" w:line="234" w:lineRule="atLeast"/>
        <w:jc w:val="both"/>
        <w:rPr>
          <w:rFonts w:ascii="Arial" w:eastAsia="Times New Roman" w:hAnsi="Arial" w:cs="Arial"/>
          <w:b/>
          <w:bCs/>
          <w:color w:val="000000"/>
          <w:sz w:val="26"/>
          <w:szCs w:val="26"/>
        </w:rPr>
      </w:pPr>
      <w:bookmarkStart w:id="34" w:name="dieu_7"/>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b/>
          <w:bCs/>
          <w:color w:val="000000"/>
          <w:sz w:val="26"/>
          <w:szCs w:val="26"/>
        </w:rPr>
        <w:t>Điều 7. Chính sách đối với người nghỉ hưu trước tuổi</w:t>
      </w:r>
      <w:bookmarkEnd w:id="34"/>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Đối tượng quy định tại </w:t>
      </w:r>
      <w:bookmarkStart w:id="35" w:name="tc_6"/>
      <w:r w:rsidRPr="006F37C4">
        <w:rPr>
          <w:rFonts w:ascii="Arial" w:eastAsia="Times New Roman" w:hAnsi="Arial" w:cs="Arial"/>
          <w:color w:val="000000"/>
          <w:sz w:val="26"/>
          <w:szCs w:val="26"/>
        </w:rPr>
        <w:t>khoản 1 Điều 2 Nghị định này</w:t>
      </w:r>
      <w:bookmarkEnd w:id="35"/>
      <w:r w:rsidRPr="006F37C4">
        <w:rPr>
          <w:rFonts w:ascii="Arial" w:eastAsia="Times New Roman" w:hAnsi="Arial" w:cs="Arial"/>
          <w:color w:val="000000"/>
          <w:sz w:val="26"/>
          <w:szCs w:val="26"/>
        </w:rPr>
        <w:t> nghỉ hưu trước tuổi, được hưởng các chế độ như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Được hưởng trợ cấp hưu trí một lần cho thời gian nghỉ sớm:</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Đối với người nghỉ trong thời hạn 12 tháng đầu tiên kể từ khi có quyết định sắp xếp tổ chức bộ máy của cấp có thẩm quyền: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Trường hợp có tuổi đời từ đủ 05 năm trở xuống đến tuổi nghỉ hưu quy định tại Phụ lục I và Phụ lục II ban hành kèm theo Nghị định số </w:t>
      </w:r>
      <w:bookmarkStart w:id="36" w:name="tvpllink_xsdmbercve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36"/>
      <w:r w:rsidRPr="006F37C4">
        <w:rPr>
          <w:rFonts w:ascii="Arial" w:eastAsia="Times New Roman" w:hAnsi="Arial" w:cs="Arial"/>
          <w:color w:val="000000"/>
          <w:sz w:val="26"/>
          <w:szCs w:val="26"/>
        </w:rPr>
        <w:t> thì được hưởng trợ cấp bằng 01 tháng tiền lương hiện hưởng nhân với số tháng nghỉ sớm so với thời điểm nghỉ hưu.</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Trường hợp có tuổi đời còn trên 05 năm đến đủ 10 năm đến tuổi nghỉ hưu quy định tại Phụ lục I ban hành kèm theo Nghị định số </w:t>
      </w:r>
      <w:bookmarkStart w:id="37" w:name="tvpllink_xsdmbercve_2"/>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37"/>
      <w:r w:rsidRPr="006F37C4">
        <w:rPr>
          <w:rFonts w:ascii="Arial" w:eastAsia="Times New Roman" w:hAnsi="Arial" w:cs="Arial"/>
          <w:color w:val="000000"/>
          <w:sz w:val="26"/>
          <w:szCs w:val="26"/>
        </w:rPr>
        <w:t> thì được hưởng trợ cấp bằng 0,9 tháng tiền lương hiện hưởng nhân với 60 tháng.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Đối với người nghỉ từ tháng thứ 13 trở đi kể từ khi có quyết định sắp xếp tổ chức bộ máy của cấp có thẩm quyền thì được hưởng bằng 0,5 mức trợ cấp tại điểm a khoản 1 Điều này.</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Được hưởng chính sách nghỉ hưu trước tuổi theo thời gian công tác có đóng bảo hiểm xã hội bắt buộc và số năm nghỉ sớm như sau:</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Trường hợp có tuổi đời còn từ đủ 02 năm đến đủ 05 năm đến tuổi nghỉ hưu quy định tại Phụ lục I ban hành kèm theo Nghị định số </w:t>
      </w:r>
      <w:bookmarkStart w:id="38" w:name="tvpllink_xsdmbercve_3"/>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38"/>
      <w:r w:rsidRPr="006F37C4">
        <w:rPr>
          <w:rFonts w:ascii="Arial" w:eastAsia="Times New Roman" w:hAnsi="Arial" w:cs="Arial"/>
          <w:color w:val="000000"/>
          <w:sz w:val="26"/>
          <w:szCs w:val="26"/>
        </w:rPr>
        <w:t>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Không bị trừ tỷ lệ lương hưu do việc nghỉ hưu trước tuổi;</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trợ cấp 05 tháng tiền lương hiện hưởng cho mỗi năm nghỉ hưu trước tuổi so với tuổi nghỉ hưu quy định tại Phụ lục I ban hành kèm theo Nghị định số </w:t>
      </w:r>
      <w:bookmarkStart w:id="39" w:name="tvpllink_xsdmbercve_4"/>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39"/>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Trường hợp có tuổi đời còn trên 05 năm đến đủ 10 năm đến tuổi nghỉ hưu quy định tại Phụ lục I ban hành kèm theo Nghị định số </w:t>
      </w:r>
      <w:bookmarkStart w:id="40" w:name="tvpllink_xsdmbercve_5"/>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40"/>
      <w:r w:rsidRPr="006F37C4">
        <w:rPr>
          <w:rFonts w:ascii="Arial" w:eastAsia="Times New Roman" w:hAnsi="Arial" w:cs="Arial"/>
          <w:color w:val="000000"/>
          <w:sz w:val="26"/>
          <w:szCs w:val="26"/>
        </w:rPr>
        <w:t xml:space="preserve"> và có đủ thời gian đóng bảo hiểm xã hội bắt buộc để được hưởng lương hưu theo quy định của </w:t>
      </w:r>
      <w:r w:rsidRPr="006F37C4">
        <w:rPr>
          <w:rFonts w:ascii="Arial" w:eastAsia="Times New Roman" w:hAnsi="Arial" w:cs="Arial"/>
          <w:color w:val="000000"/>
          <w:sz w:val="26"/>
          <w:szCs w:val="26"/>
        </w:rPr>
        <w:lastRenderedPageBreak/>
        <w:t>pháp luật về bảo hiểm xã hội, ngoài hưởng chế độ hưu trí theo quy định của pháp luật về bảo hiểm xã hội thì còn được hưởng các chế độ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Không bị trừ tỷ lệ lương hưu do việc nghỉ hưu trước tuổi;</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trợ cấp 04 tháng tiền lương hiện hưởng cho mỗi năm nghỉ hưu trước tuổi so với tuổi nghỉ hưu quy định tại Phụ lục I ban hành kèm theo Nghị định số </w:t>
      </w:r>
      <w:bookmarkStart w:id="41" w:name="tvpllink_xsdmbercve_6"/>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41"/>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 Trường hợp có tuổi đời còn từ đủ 02 năm đến đủ 05 năm đến tuổi nghỉ hưu quy định tại Phụ lục II ban hành kèm theo Nghị định số </w:t>
      </w:r>
      <w:bookmarkStart w:id="42" w:name="tvpllink_xsdmbercve_7"/>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42"/>
      <w:r w:rsidRPr="006F37C4">
        <w:rPr>
          <w:rFonts w:ascii="Arial" w:eastAsia="Times New Roman" w:hAnsi="Arial" w:cs="Arial"/>
          <w:color w:val="000000"/>
          <w:sz w:val="26"/>
          <w:szCs w:val="26"/>
        </w:rPr>
        <w:t>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Không bị trừ tỷ lệ lương hưu do việc nghỉ hưu trước tuổi;</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trợ cấp 05 tháng tiền lương hiện hưởng cho mỗi năm nghỉ hưu trước tuổi so với tuổi nghỉ hưu quy định tại Phụ lục II ban hành kèm theo Nghị định số </w:t>
      </w:r>
      <w:bookmarkStart w:id="43" w:name="tvpllink_xsdmbercve_8"/>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43"/>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d) Trường hợp có tuổi đời còn dưới 02 năm đến tuổi nghỉ hưu quy định tại Phụ lục I ban hành kèm theo Nghị định số </w:t>
      </w:r>
      <w:bookmarkStart w:id="44" w:name="tvpllink_xsdmbercve_9"/>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44"/>
      <w:r w:rsidRPr="006F37C4">
        <w:rPr>
          <w:rFonts w:ascii="Arial" w:eastAsia="Times New Roman" w:hAnsi="Arial" w:cs="Arial"/>
          <w:color w:val="000000"/>
          <w:sz w:val="26"/>
          <w:szCs w:val="26"/>
        </w:rPr>
        <w:t> và có đủ thời gian công tác có đóng bảo hiểm xã hội bắt buộc để được hưởng lương hưu theo quy định của pháp luật về bảo hiểm xã hội, thì được hưởng chế độ hưu trí theo quy định của pháp luật về bảo hiểm xã hội và không bị trừ tỷ lệ lương hưu do việc nghỉ hưu trước tuổi.</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 Trường hợp có tuổi đời còn dưới 02 năm đến tuổi nghỉ hưu quy định tại Phụ lục II ban hành kèm theo Nghị định số </w:t>
      </w:r>
      <w:bookmarkStart w:id="45" w:name="tvpllink_xsdmbercve_10"/>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45"/>
      <w:r w:rsidRPr="006F37C4">
        <w:rPr>
          <w:rFonts w:ascii="Arial" w:eastAsia="Times New Roman" w:hAnsi="Arial" w:cs="Arial"/>
          <w:color w:val="000000"/>
          <w:sz w:val="26"/>
          <w:szCs w:val="26"/>
        </w:rPr>
        <w:t xml:space="preserve">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w:t>
      </w:r>
      <w:r w:rsidRPr="006F37C4">
        <w:rPr>
          <w:rFonts w:ascii="Arial" w:eastAsia="Times New Roman" w:hAnsi="Arial" w:cs="Arial"/>
          <w:color w:val="000000"/>
          <w:sz w:val="26"/>
          <w:szCs w:val="26"/>
        </w:rPr>
        <w:lastRenderedPageBreak/>
        <w:t>hưởng chế độ hưu trí theo quy định của pháp luật về bảo hiểm xã hội và không bị trừ tỷ lệ lương hưu do việc nghỉ hưu trước tuổi.</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Cán bộ, công chức, viên chức được nghỉ hưu trước tuổi tại khoản 1 và khoản 2 Điều này thuộc đối tượng khen thưởng quá trình cống hiến theo quy định của </w:t>
      </w:r>
      <w:bookmarkStart w:id="46" w:name="tvpllink_mqzjvkhjyn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46"/>
      <w:r w:rsidRPr="006F37C4">
        <w:rPr>
          <w:rFonts w:ascii="Arial" w:eastAsia="Times New Roman" w:hAnsi="Arial" w:cs="Arial"/>
          <w:color w:val="000000"/>
          <w:sz w:val="26"/>
          <w:szCs w:val="26"/>
        </w:rPr>
        <w:t> và Nghị định số </w:t>
      </w:r>
      <w:bookmarkStart w:id="47" w:name="tvpllink_xeegzhrzvz"/>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"https://thuvienphapluat.vn/van-ban/Bo-may-hanh-chinh/Nghi-dinh-98-2023-ND-CP-huong-dan-Luat-Thi-dua-khen-thuong-594016.aspx"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98/2023/NĐ-CP</w:t>
      </w:r>
      <w:r w:rsidRPr="006F37C4">
        <w:rPr>
          <w:rFonts w:ascii="Arial" w:eastAsia="Times New Roman" w:hAnsi="Arial" w:cs="Arial"/>
          <w:color w:val="000000"/>
          <w:sz w:val="26"/>
          <w:szCs w:val="26"/>
        </w:rPr>
        <w:fldChar w:fldCharType="end"/>
      </w:r>
      <w:bookmarkEnd w:id="47"/>
      <w:r w:rsidRPr="006F37C4">
        <w:rPr>
          <w:rFonts w:ascii="Arial" w:eastAsia="Times New Roman" w:hAnsi="Arial" w:cs="Arial"/>
          <w:color w:val="000000"/>
          <w:sz w:val="26"/>
          <w:szCs w:val="26"/>
        </w:rPr>
        <w:t> ngày 31 tháng 12 năm 2023 của Chính phủ quy định chi tiết thi hành một số điều của </w:t>
      </w:r>
      <w:bookmarkStart w:id="48" w:name="tvpllink_mqzjvkhjyn_2"/>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48"/>
      <w:r w:rsidRPr="006F37C4">
        <w:rPr>
          <w:rFonts w:ascii="Arial" w:eastAsia="Times New Roman" w:hAnsi="Arial" w:cs="Arial"/>
          <w:color w:val="000000"/>
          <w:sz w:val="26"/>
          <w:szCs w:val="26"/>
        </w:rPr>
        <w:t> 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của </w:t>
      </w:r>
      <w:bookmarkStart w:id="49" w:name="tvpllink_mqzjvkhjyn_3"/>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49"/>
      <w:r w:rsidRPr="006F37C4">
        <w:rPr>
          <w:rFonts w:ascii="Arial" w:eastAsia="Times New Roman" w:hAnsi="Arial" w:cs="Arial"/>
          <w:color w:val="000000"/>
          <w:sz w:val="26"/>
          <w:szCs w:val="26"/>
        </w:rPr>
        <w:t> và Nghị định số </w:t>
      </w:r>
      <w:bookmarkStart w:id="50" w:name="tvpllink_xeegzhrzvz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"https://thuvienphapluat.vn/van-ban/Bo-may-hanh-chinh/Nghi-dinh-98-2023-ND-CP-huong-dan-Luat-Thi-dua-khen-thuong-594016.aspx"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98/2023/NĐ-CP</w:t>
      </w:r>
      <w:r w:rsidRPr="006F37C4">
        <w:rPr>
          <w:rFonts w:ascii="Arial" w:eastAsia="Times New Roman" w:hAnsi="Arial" w:cs="Arial"/>
          <w:color w:val="000000"/>
          <w:sz w:val="26"/>
          <w:szCs w:val="26"/>
        </w:rPr>
        <w:fldChar w:fldCharType="end"/>
      </w:r>
      <w:bookmarkEnd w:id="50"/>
      <w:r w:rsidRPr="006F37C4">
        <w:rPr>
          <w:rFonts w:ascii="Arial" w:eastAsia="Times New Roman" w:hAnsi="Arial" w:cs="Arial"/>
          <w:color w:val="000000"/>
          <w:sz w:val="26"/>
          <w:szCs w:val="26"/>
        </w:rPr>
        <w:t>. Đối với cán bộ, công chức, viên chức không thuộc đối tượng xét khen thưởng quá trình cống hiến thì được cấp có thẩm quyền xem xét các hình thức khen thưởng phù hợp với thành tích đạt được.</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51" w:name="dieu_8"/>
      <w:r w:rsidRPr="006F37C4">
        <w:rPr>
          <w:rFonts w:ascii="Arial" w:eastAsia="Times New Roman" w:hAnsi="Arial" w:cs="Arial"/>
          <w:b/>
          <w:bCs/>
          <w:color w:val="000000"/>
          <w:sz w:val="26"/>
          <w:szCs w:val="26"/>
        </w:rPr>
        <w:t>Điều 8. Chính sách đối với cán bộ được kéo dài thời gian công tác</w:t>
      </w:r>
      <w:bookmarkEnd w:id="51"/>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Cán bộ đã quá tuổi nghỉ hưu theo quy định nhưng được Bộ Chính trị, Ban Bí thư quyết định kéo dài thời gian công tác làm việc trong các cơ quan của Đảng.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52" w:name="dieu_9"/>
      <w:r w:rsidRPr="006F37C4">
        <w:rPr>
          <w:rFonts w:ascii="Arial" w:eastAsia="Times New Roman" w:hAnsi="Arial" w:cs="Arial"/>
          <w:b/>
          <w:bCs/>
          <w:color w:val="000000"/>
          <w:sz w:val="26"/>
          <w:szCs w:val="26"/>
        </w:rPr>
        <w:t>Điều 9. Chính sách nghỉ thôi việc đối với cán bộ, công chức quy định tại điểm a và điểm b khoản 1 Điều 2 Nghị định này</w:t>
      </w:r>
      <w:bookmarkEnd w:id="52"/>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Cán bộ, công chức có tuổi đời từ đủ 02 năm trở lên đến tuổi nghỉ hưu quy định tại Phụ lục I, Phụ lục II ban hành kèm theo Nghị định số </w:t>
      </w:r>
      <w:bookmarkStart w:id="53" w:name="tvpllink_xsdmbercve_1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53"/>
      <w:r w:rsidRPr="006F37C4">
        <w:rPr>
          <w:rFonts w:ascii="Arial" w:eastAsia="Times New Roman" w:hAnsi="Arial" w:cs="Arial"/>
          <w:color w:val="000000"/>
          <w:sz w:val="26"/>
          <w:szCs w:val="26"/>
        </w:rPr>
        <w:t> và không đủ điều kiện hưởng chính sách nghỉ hưu trước tuổi quy định tại </w:t>
      </w:r>
      <w:bookmarkStart w:id="54" w:name="tc_7"/>
      <w:r w:rsidRPr="006F37C4">
        <w:rPr>
          <w:rFonts w:ascii="Arial" w:eastAsia="Times New Roman" w:hAnsi="Arial" w:cs="Arial"/>
          <w:color w:val="000000"/>
          <w:sz w:val="26"/>
          <w:szCs w:val="26"/>
        </w:rPr>
        <w:t>Điều 7 Nghị định này</w:t>
      </w:r>
      <w:bookmarkEnd w:id="54"/>
      <w:r w:rsidRPr="006F37C4">
        <w:rPr>
          <w:rFonts w:ascii="Arial" w:eastAsia="Times New Roman" w:hAnsi="Arial" w:cs="Arial"/>
          <w:color w:val="000000"/>
          <w:sz w:val="26"/>
          <w:szCs w:val="26"/>
        </w:rPr>
        <w:t>, nếu nghỉ thôi việc thì được hưởng các chế độ như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Được hưởng trợ cấp thôi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Được trợ cấp 1,5 tháng tiền lương hiện hưởng cho mỗi năm công tác có đóng bảo hiểm xã hội bắt buộc.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Được bảo lưu thời gian đóng bảo hiểm xã hội hoặc hưởng bảo hiểm xã hội một lần theo quy định của pháp luật về bảo hiểm xã hội.</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Được trợ cấp 03 tháng tiền lương hiện hưởng để tìm việc làm.</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55" w:name="dieu_10"/>
      <w:r w:rsidRPr="006F37C4">
        <w:rPr>
          <w:rFonts w:ascii="Arial" w:eastAsia="Times New Roman" w:hAnsi="Arial" w:cs="Arial"/>
          <w:b/>
          <w:bCs/>
          <w:color w:val="000000"/>
          <w:sz w:val="26"/>
          <w:szCs w:val="26"/>
        </w:rPr>
        <w:t>Điều 10. Chính sách nghỉ thôi việc đối với viên chức và người lao động quy định tại điểm a và điểm c khoản 1 Điều 2 Nghị định này</w:t>
      </w:r>
      <w:bookmarkEnd w:id="55"/>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Viên chức và người lao động có tuổi đời từ đủ 02 năm trở lên đến tuổi nghỉ hưu quy định tại Phụ lục I, Phụ lục II ban hành kèm theo Nghị định số </w:t>
      </w:r>
      <w:bookmarkStart w:id="56" w:name="tvpllink_xsdmbercve_12"/>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w:t>
      </w:r>
      <w:r w:rsidRPr="006F37C4">
        <w:rPr>
          <w:rFonts w:ascii="Arial" w:eastAsia="Times New Roman" w:hAnsi="Arial" w:cs="Arial"/>
          <w:color w:val="0E70C3"/>
          <w:sz w:val="26"/>
          <w:szCs w:val="26"/>
        </w:rPr>
        <w:lastRenderedPageBreak/>
        <w:t>CP</w:t>
      </w:r>
      <w:r w:rsidRPr="006F37C4">
        <w:rPr>
          <w:rFonts w:ascii="Arial" w:eastAsia="Times New Roman" w:hAnsi="Arial" w:cs="Arial"/>
          <w:color w:val="000000"/>
          <w:sz w:val="26"/>
          <w:szCs w:val="26"/>
        </w:rPr>
        <w:fldChar w:fldCharType="end"/>
      </w:r>
      <w:bookmarkEnd w:id="56"/>
      <w:r w:rsidRPr="006F37C4">
        <w:rPr>
          <w:rFonts w:ascii="Arial" w:eastAsia="Times New Roman" w:hAnsi="Arial" w:cs="Arial"/>
          <w:color w:val="000000"/>
          <w:sz w:val="26"/>
          <w:szCs w:val="26"/>
        </w:rPr>
        <w:t> và không đủ điều kiện hưởng chính sách nghỉ hưu trước tuổi quy định tại </w:t>
      </w:r>
      <w:bookmarkStart w:id="57" w:name="tc_8"/>
      <w:r w:rsidRPr="006F37C4">
        <w:rPr>
          <w:rFonts w:ascii="Arial" w:eastAsia="Times New Roman" w:hAnsi="Arial" w:cs="Arial"/>
          <w:color w:val="000000"/>
          <w:sz w:val="26"/>
          <w:szCs w:val="26"/>
        </w:rPr>
        <w:t>Điều 7 Nghị định này</w:t>
      </w:r>
      <w:bookmarkEnd w:id="57"/>
      <w:r w:rsidRPr="006F37C4">
        <w:rPr>
          <w:rFonts w:ascii="Arial" w:eastAsia="Times New Roman" w:hAnsi="Arial" w:cs="Arial"/>
          <w:color w:val="000000"/>
          <w:sz w:val="26"/>
          <w:szCs w:val="26"/>
        </w:rPr>
        <w:t>, nếu nghỉ thôi việc thì được hưởng các chế độ như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Được hưởng trợ cấp thôi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Đối với người nghỉ thôi việc từ tháng thứ 13 trở đi kể từ khi có quyết định sắp xếp tổ chức bộ máy của cấp có thẩm quyền thì được hướng bằng 0,4 tháng tiền lương hiện hưởng nhân với số tháng tính hưởng trợ cấp thôi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Được trợ cấp 1,5 tháng tiền lương hiện hưởng cho mỗi năm công tác có đóng bảo hiểm xã hội bắt buộc.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Được bảo lưu thời gian đóng bảo hiểm xã hội hoặc hưởng bảo hiểm xã hội một lần theo quy định của pháp luật về bảo hiểm xã hội.</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Được hưởng bảo hiểm thất nghiệp theo quy định của pháp luật về bảo hiểm thất nghiệp.</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58" w:name="dieu_11"/>
      <w:r w:rsidRPr="006F37C4">
        <w:rPr>
          <w:rFonts w:ascii="Arial" w:eastAsia="Times New Roman" w:hAnsi="Arial" w:cs="Arial"/>
          <w:b/>
          <w:bCs/>
          <w:color w:val="000000"/>
          <w:sz w:val="26"/>
          <w:szCs w:val="26"/>
        </w:rPr>
        <w:t>Điều 11. Chính sách đối với cán bộ, công chức, viên chức lãnh đạo, quản lý thôi giữ chức vụ lãnh đạo, quản lý hoặc được bầu cử, bổ nhiệm giữ chức vụ lãnh đạo, quản lý thấp hơn do sắp xếp tổ chức bộ máy</w:t>
      </w:r>
      <w:bookmarkEnd w:id="58"/>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Cán bộ, công chức, viên chức lãnh đạo, quản lý thôi giữ chức vụ lãnh đạo, quản lý hoặc được bầu cử, bổ nhiệm giữ chức vụ lãnh đạo, quản lý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59" w:name="dieu_12"/>
      <w:r w:rsidRPr="006F37C4">
        <w:rPr>
          <w:rFonts w:ascii="Arial" w:eastAsia="Times New Roman" w:hAnsi="Arial" w:cs="Arial"/>
          <w:b/>
          <w:bCs/>
          <w:color w:val="000000"/>
          <w:sz w:val="26"/>
          <w:szCs w:val="26"/>
        </w:rPr>
        <w:t>Điều 12. Chính sách đối với cán bộ, công chức, viên chức tăng cường đi công tác ở cơ sở</w:t>
      </w:r>
      <w:bookmarkEnd w:id="59"/>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Cán bộ, công chức, viên chức ở các cơ quan trung ương và địa phương được cơ quan có thẩm quyền cử tăng cường đi công tác trong thời gian 03 năm ở cơ sở, được hưởng chính sách như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Đối với cán bộ, công chức, viên chức tăng cường đến làm việc tại cơ quan Đảng, Nhà nước và tổ chức chính trị - xã hội ở cấp xã, được hưởng các chế độ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Được tiếp tục hưởng tiền lương (bao gồm cả các khoản phụ cấp lương) theo vị trí việc làm trước khi được cơ quan, tổ chức, đơn vị cử đi.</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Trợ cấp một lần bằng 10 tháng lương cơ sở tại thời điểm nhận công tác.</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 Trường hợp đơn vị công tác ở vùng có điều kiện kinh tế - xã hội đặc biệt khó khăn thì được hưởng các chính sách, chế độ quy định tại Nghị định số </w:t>
      </w:r>
      <w:bookmarkStart w:id="60" w:name="tvpllink_kyyddzwfsh"/>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"https://thuvienphapluat.vn/van-ban/Lao-dong-Tien-luong/Nghi-dinh-76-2019-ND-CP-chinh-sach-doi-voi-can-bo-cong-chuc-cong-tac-o-vung-kinh-te-dac-biet-kho-khan-330306.aspx"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76/2019/NĐ-CP</w:t>
      </w:r>
      <w:r w:rsidRPr="006F37C4">
        <w:rPr>
          <w:rFonts w:ascii="Arial" w:eastAsia="Times New Roman" w:hAnsi="Arial" w:cs="Arial"/>
          <w:color w:val="000000"/>
          <w:sz w:val="26"/>
          <w:szCs w:val="26"/>
        </w:rPr>
        <w:fldChar w:fldCharType="end"/>
      </w:r>
      <w:bookmarkEnd w:id="60"/>
      <w:r w:rsidRPr="006F37C4">
        <w:rPr>
          <w:rFonts w:ascii="Arial" w:eastAsia="Times New Roman" w:hAnsi="Arial" w:cs="Arial"/>
          <w:color w:val="000000"/>
          <w:sz w:val="26"/>
          <w:szCs w:val="26"/>
        </w:rPr>
        <w:t xml:space="preserve"> ngày 18 tháng 10 năm 2019 của Chính phủ về chính sách đối với cán bộ, công chức, viên chức, người lao động và người hưởng lương trong </w:t>
      </w:r>
      <w:r w:rsidRPr="006F37C4">
        <w:rPr>
          <w:rFonts w:ascii="Arial" w:eastAsia="Times New Roman" w:hAnsi="Arial" w:cs="Arial"/>
          <w:color w:val="000000"/>
          <w:sz w:val="26"/>
          <w:szCs w:val="26"/>
        </w:rPr>
        <w:lastRenderedPageBreak/>
        <w:t>lực lượng vũ trang công tác ở vùng có điều kiện kinh tế - xã hội đặc biệt khó khăn (không hưởng trợ cấp quy định tại điểm b khoản này).</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nâng lương vượt một bậc (thời điểm giữ bậc lương mới được tính theo thời điểm giữ bậc lương cũ) nếu chưa xếp bậc lương cuối cùng trong ngạch hoặc chức danh.</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bộ, ban, ngành và tỉnh xem xét khen thưởng theo quy định của </w:t>
      </w:r>
      <w:bookmarkStart w:id="61" w:name="tvpllink_mqzjvkhjyn_4"/>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61"/>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Đối với cán bộ, công chức, viên chức ở các cơ quan trung ương tăng cường đến làm việc tại cơ quan Đảng, Nhà nước, tổ chức chính trị - xã hội và đơn vị sự nghiệp công lập ở cấp tỉnh, cấp huyện, được hưởng chính sách như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Được tiếp tục hưởng tiền lương (bao gồm cả phụ cấp) theo vị trí việc làm trước khi được cơ quan, tổ chức, đơn vị cử đi.</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Trợ cấp một lần bằng 03 tháng lương cơ sở tại thời điểm nhận công tác.</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 Trường hợp đơn vị công tác ở vùng có điều kiện kinh tế - xã hội đặc biệt khó khăn thì được hưởng các chính sách, chế độ quy định tại Nghị định số </w:t>
      </w:r>
      <w:bookmarkStart w:id="62" w:name="tvpllink_kyyddzwfsh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"https://thuvienphapluat.vn/van-ban/Lao-dong-Tien-luong/Nghi-dinh-76-2019-ND-CP-chinh-sach-doi-voi-can-bo-cong-chuc-cong-tac-o-vung-kinh-te-dac-biet-kho-khan-330306.aspx"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76/2019/NĐ-CP</w:t>
      </w:r>
      <w:r w:rsidRPr="006F37C4">
        <w:rPr>
          <w:rFonts w:ascii="Arial" w:eastAsia="Times New Roman" w:hAnsi="Arial" w:cs="Arial"/>
          <w:color w:val="000000"/>
          <w:sz w:val="26"/>
          <w:szCs w:val="26"/>
        </w:rPr>
        <w:fldChar w:fldCharType="end"/>
      </w:r>
      <w:bookmarkEnd w:id="62"/>
      <w:r w:rsidRPr="006F37C4">
        <w:rPr>
          <w:rFonts w:ascii="Arial" w:eastAsia="Times New Roman" w:hAnsi="Arial" w:cs="Arial"/>
          <w:color w:val="000000"/>
          <w:sz w:val="26"/>
          <w:szCs w:val="26"/>
        </w:rPr>
        <w:t> (không hưởng trợ cấp quy định tại điểm b khoản này).</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nâng lương vượt một bậc (thời điểm giữ bậc lương mới được tính theo thời điểm giữ bậc lương cũ) nếu chưa xếp bậc lương cuối cùng trong ngạch hoặc chức danh.</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Được bộ, ban, ngành và tỉnh xem xét khen thưởng theo quy định của </w:t>
      </w:r>
      <w:bookmarkStart w:id="63" w:name="tvpllink_mqzjvkhjyn_5"/>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63"/>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Các chế độ quy định tại điểm a, điểm b và điểm c khoản 1 và điểm a, điểm b và điểm c khoản 2 Điều này do cơ quan, tổ chức, đơn vị cử đi chi trả.</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64" w:name="dieu_13"/>
      <w:r w:rsidRPr="006F37C4">
        <w:rPr>
          <w:rFonts w:ascii="Arial" w:eastAsia="Times New Roman" w:hAnsi="Arial" w:cs="Arial"/>
          <w:b/>
          <w:bCs/>
          <w:color w:val="000000"/>
          <w:sz w:val="26"/>
          <w:szCs w:val="26"/>
        </w:rPr>
        <w:t>Điều 13. Chính sách trọng dụng người có phẩm chất, năng lực nổi trội</w:t>
      </w:r>
      <w:bookmarkEnd w:id="64"/>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Cán bộ, công chức, viên chức quy định tại </w:t>
      </w:r>
      <w:bookmarkStart w:id="65" w:name="tc_9"/>
      <w:r w:rsidRPr="006F37C4">
        <w:rPr>
          <w:rFonts w:ascii="Arial" w:eastAsia="Times New Roman" w:hAnsi="Arial" w:cs="Arial"/>
          <w:color w:val="000000"/>
          <w:sz w:val="26"/>
          <w:szCs w:val="26"/>
        </w:rPr>
        <w:t>khoản 1 Điều 2 Nghị định này</w:t>
      </w:r>
      <w:bookmarkEnd w:id="65"/>
      <w:r w:rsidRPr="006F37C4">
        <w:rPr>
          <w:rFonts w:ascii="Arial" w:eastAsia="Times New Roman" w:hAnsi="Arial" w:cs="Arial"/>
          <w:color w:val="000000"/>
          <w:sz w:val="26"/>
          <w:szCs w:val="26"/>
        </w:rPr>
        <w:t> có phẩm chất, năng lực nổi trội, có thành tích đặc biệt xuất sắc đóng góp cho cơ quan, tổ chức, đơn vị thì được hưởng các chính sách sau:</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Được nâng lương vượt một bậc (thời điểm giữ bậc lương mới được tính theo thời điểm giữ bậc lương cũ) 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trong nhiệm vụ hàng năm của cơ quan, tổ chức, đơn vị quy định tại </w:t>
      </w:r>
      <w:bookmarkStart w:id="66" w:name="dc_1"/>
      <w:r w:rsidRPr="006F37C4">
        <w:rPr>
          <w:rFonts w:ascii="Arial" w:eastAsia="Times New Roman" w:hAnsi="Arial" w:cs="Arial"/>
          <w:color w:val="000000"/>
          <w:sz w:val="26"/>
          <w:szCs w:val="26"/>
        </w:rPr>
        <w:t>khoản 2 Điều 7 Nghị định số 204/2004/NĐ-</w:t>
      </w:r>
      <w:r w:rsidRPr="006F37C4">
        <w:rPr>
          <w:rFonts w:ascii="Arial" w:eastAsia="Times New Roman" w:hAnsi="Arial" w:cs="Arial"/>
          <w:color w:val="000000"/>
          <w:sz w:val="26"/>
          <w:szCs w:val="26"/>
        </w:rPr>
        <w:lastRenderedPageBreak/>
        <w:t>CP</w:t>
      </w:r>
      <w:bookmarkEnd w:id="66"/>
      <w:r w:rsidRPr="006F37C4">
        <w:rPr>
          <w:rFonts w:ascii="Arial" w:eastAsia="Times New Roman" w:hAnsi="Arial" w:cs="Arial"/>
          <w:color w:val="000000"/>
          <w:sz w:val="26"/>
          <w:szCs w:val="26"/>
        </w:rPr>
        <w:t> ngày 14 tháng 12 năm 2004 của Chính phủ về chế độ tiền lương đối với cán bộ, công chức, viên chức và lực lượng vũ trang (đã được sửa đổi tại Nghị định số </w:t>
      </w:r>
      <w:bookmarkStart w:id="67" w:name="tvpllink_ndofvcbkww"/>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"https://thuvienphapluat.vn/van-ban/Lao-dong-Tien-luong/Nghi-dinh-17-2013-ND-CP-sua-doi-Nghi-dinh-204-2004-ND-CP-che-do-tien-luong-172938.aspx"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17/2013/NĐ-CP</w:t>
      </w:r>
      <w:r w:rsidRPr="006F37C4">
        <w:rPr>
          <w:rFonts w:ascii="Arial" w:eastAsia="Times New Roman" w:hAnsi="Arial" w:cs="Arial"/>
          <w:color w:val="000000"/>
          <w:sz w:val="26"/>
          <w:szCs w:val="26"/>
        </w:rPr>
        <w:fldChar w:fldCharType="end"/>
      </w:r>
      <w:bookmarkEnd w:id="67"/>
      <w:r w:rsidRPr="006F37C4">
        <w:rPr>
          <w:rFonts w:ascii="Arial" w:eastAsia="Times New Roman" w:hAnsi="Arial" w:cs="Arial"/>
          <w:color w:val="000000"/>
          <w:sz w:val="26"/>
          <w:szCs w:val="26"/>
        </w:rPr>
        <w:t> ngày 19 tháng 02 năm 2013 của Chính phủ).</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Được hưởng tiền thưởng theo thành tích xuất sắc do Thủ trưởng cơ quan, tổ chức, đơn vị quyết định từ quỹ tiền thưởng quy định tại </w:t>
      </w:r>
      <w:bookmarkStart w:id="68" w:name="dc_2"/>
      <w:r w:rsidRPr="006F37C4">
        <w:rPr>
          <w:rFonts w:ascii="Arial" w:eastAsia="Times New Roman" w:hAnsi="Arial" w:cs="Arial"/>
          <w:color w:val="000000"/>
          <w:sz w:val="26"/>
          <w:szCs w:val="26"/>
        </w:rPr>
        <w:t>Điều 4 Nghị định số 73/2024/NĐ-CP</w:t>
      </w:r>
      <w:bookmarkEnd w:id="68"/>
      <w:r w:rsidRPr="006F37C4">
        <w:rPr>
          <w:rFonts w:ascii="Arial" w:eastAsia="Times New Roman" w:hAnsi="Arial" w:cs="Arial"/>
          <w:color w:val="000000"/>
          <w:sz w:val="26"/>
          <w:szCs w:val="26"/>
        </w:rPr>
        <w:t> ngày 30 tháng 6 năm 2024 của Chính phủ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biệt xuất sắc và có thành tích công tác đột xuất; quỹ tiền thưởng còn lại của năm dành cho khen thưởng theo định kỳ hằng năm theo kết quả đánh giá, xếp loại mức độ hoàn thành công việc.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Được cấp có thẩm quyền 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Được hưởng chính sách thu hút, trọng dụng người có tài năng làm việc trong các cơ quan hành chính, đơn vị sự nghiệp công lập nếu đủ tiêu chuẩn, điều kiện theo quy định tại Nghị định khác của Chính phủ.</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69" w:name="dieu_14"/>
      <w:r w:rsidRPr="006F37C4">
        <w:rPr>
          <w:rFonts w:ascii="Arial" w:eastAsia="Times New Roman" w:hAnsi="Arial" w:cs="Arial"/>
          <w:b/>
          <w:bCs/>
          <w:color w:val="000000"/>
          <w:sz w:val="26"/>
          <w:szCs w:val="26"/>
        </w:rPr>
        <w:t>Điều 14. Chính sách đào tạo, bồi dưỡng nâng cao trình độ cán bộ, công chức, viên chức sau sắp xếp</w:t>
      </w:r>
      <w:bookmarkEnd w:id="69"/>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Căn cứ kết quả đánh giá cán bộ, công chức, viên chức sau sắp xếp, người đứng đầu cơ quan, tổ chức, đơn vị xây dựng kế hoạch đào tạo, bồi dưỡng và cử cán bộ, công chức, viên chức thuộc phạm vi quản lý đi đào tạo, bồi dưỡng nâng cao trình độ chuyên môn, nghiệp vụ, đáp ứng yêu cầu nhiệm vụ của vị trí việc làm để cơ quan, tổ chức, đơn vị hoạt động hiệu năng, hiệu lực, hiệu quả.</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70" w:name="dieu_15"/>
      <w:r w:rsidRPr="006F37C4">
        <w:rPr>
          <w:rFonts w:ascii="Arial" w:eastAsia="Times New Roman" w:hAnsi="Arial" w:cs="Arial"/>
          <w:b/>
          <w:bCs/>
          <w:color w:val="000000"/>
          <w:sz w:val="26"/>
          <w:szCs w:val="26"/>
        </w:rPr>
        <w:t>Điều 15. Chính sách, chế độ đối với đối tượng thuộc lực lượng vũ trang trong quá trình thực hiện sắp xếp tổ chức bộ máy</w:t>
      </w:r>
      <w:bookmarkEnd w:id="70"/>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Đối tượng quy định tại </w:t>
      </w:r>
      <w:bookmarkStart w:id="71" w:name="tc_10"/>
      <w:r w:rsidRPr="006F37C4">
        <w:rPr>
          <w:rFonts w:ascii="Arial" w:eastAsia="Times New Roman" w:hAnsi="Arial" w:cs="Arial"/>
          <w:color w:val="000000"/>
          <w:sz w:val="26"/>
          <w:szCs w:val="26"/>
        </w:rPr>
        <w:t>điểm d, điểm đ và điểm e khoản 1 Điều 2 Nghị định này</w:t>
      </w:r>
      <w:bookmarkEnd w:id="71"/>
      <w:r w:rsidRPr="006F37C4">
        <w:rPr>
          <w:rFonts w:ascii="Arial" w:eastAsia="Times New Roman" w:hAnsi="Arial" w:cs="Arial"/>
          <w:color w:val="000000"/>
          <w:sz w:val="26"/>
          <w:szCs w:val="26"/>
        </w:rPr>
        <w:t> được thực hiện chính sách như đối với cán bộ, công chức, viên chức và lao động hợp đồng quy định tại </w:t>
      </w:r>
      <w:bookmarkStart w:id="72" w:name="tc_11"/>
      <w:r w:rsidRPr="006F37C4">
        <w:rPr>
          <w:rFonts w:ascii="Arial" w:eastAsia="Times New Roman" w:hAnsi="Arial" w:cs="Arial"/>
          <w:color w:val="000000"/>
          <w:sz w:val="26"/>
          <w:szCs w:val="26"/>
        </w:rPr>
        <w:t>Điều 7, Điều 8,</w:t>
      </w:r>
      <w:bookmarkEnd w:id="72"/>
      <w:r w:rsidRPr="006F37C4">
        <w:rPr>
          <w:rFonts w:ascii="Arial" w:eastAsia="Times New Roman" w:hAnsi="Arial" w:cs="Arial"/>
          <w:color w:val="000000"/>
          <w:sz w:val="26"/>
          <w:szCs w:val="26"/>
        </w:rPr>
        <w:t> </w:t>
      </w:r>
      <w:bookmarkStart w:id="73" w:name="tc_12"/>
      <w:r w:rsidRPr="006F37C4">
        <w:rPr>
          <w:rFonts w:ascii="Arial" w:eastAsia="Times New Roman" w:hAnsi="Arial" w:cs="Arial"/>
          <w:color w:val="000000"/>
          <w:sz w:val="26"/>
          <w:szCs w:val="26"/>
        </w:rPr>
        <w:t>Điều 9, Điều 10,</w:t>
      </w:r>
      <w:bookmarkEnd w:id="73"/>
      <w:r w:rsidRPr="006F37C4">
        <w:rPr>
          <w:rFonts w:ascii="Arial" w:eastAsia="Times New Roman" w:hAnsi="Arial" w:cs="Arial"/>
          <w:color w:val="000000"/>
          <w:sz w:val="26"/>
          <w:szCs w:val="26"/>
        </w:rPr>
        <w:t> </w:t>
      </w:r>
      <w:bookmarkStart w:id="74" w:name="tc_13"/>
      <w:r w:rsidRPr="006F37C4">
        <w:rPr>
          <w:rFonts w:ascii="Arial" w:eastAsia="Times New Roman" w:hAnsi="Arial" w:cs="Arial"/>
          <w:color w:val="000000"/>
          <w:sz w:val="26"/>
          <w:szCs w:val="26"/>
        </w:rPr>
        <w:t>Điều 11 và Điều 14 Nghị định này</w:t>
      </w:r>
      <w:bookmarkEnd w:id="74"/>
      <w:r w:rsidRPr="006F37C4">
        <w:rPr>
          <w:rFonts w:ascii="Arial" w:eastAsia="Times New Roman" w:hAnsi="Arial" w:cs="Arial"/>
          <w:color w:val="000000"/>
          <w:sz w:val="26"/>
          <w:szCs w:val="26"/>
        </w:rPr>
        <w:t>.</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Tuổi nghỉ hưu để tính hưởng chính sách, chế độ đối với từng đối tượng thuộc lực lượng vũ trang như sau:</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Đối với sĩ quan Quân đội nhân dân Việt Nam thì tuổi nghỉ hưu thực hiện theo quy định của </w:t>
      </w:r>
      <w:bookmarkStart w:id="75" w:name="tvpllink_gjzuaxcscq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"https://thuvienphapluat.vn/van-ban/Bo-may-hanh-chinh/Luat-Si-quan-Quan-doi-nhan-dan-Viet-Nam-1999-16-1999-QH10-46063.aspx"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Sĩ quan Quân đội nhân dân Việt Nam</w:t>
      </w:r>
      <w:r w:rsidRPr="006F37C4">
        <w:rPr>
          <w:rFonts w:ascii="Arial" w:eastAsia="Times New Roman" w:hAnsi="Arial" w:cs="Arial"/>
          <w:color w:val="000000"/>
          <w:sz w:val="26"/>
          <w:szCs w:val="26"/>
        </w:rPr>
        <w:fldChar w:fldCharType="end"/>
      </w:r>
      <w:bookmarkEnd w:id="75"/>
      <w:r w:rsidRPr="006F37C4">
        <w:rPr>
          <w:rFonts w:ascii="Arial" w:eastAsia="Times New Roman" w:hAnsi="Arial" w:cs="Arial"/>
          <w:color w:val="000000"/>
          <w:sz w:val="26"/>
          <w:szCs w:val="26"/>
        </w:rPr>
        <w:t> và các văn bản hướng dẫn.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Đối với quân nhân chuyên nghiệp, công nhân và viên chức quốc phòng thì tuổi nghỉ hưu thực hiện theo quy định của </w:t>
      </w:r>
      <w:bookmarkStart w:id="76" w:name="tvpllink_hhnsnoftjd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"https://thuvienphapluat.vn/van-ban/Bo-may-hanh-chinh/Luat-quan-nhan-chuyen-nghiep-cong-nhan-vien-chuc-quoc-phong-2015-298377.aspx"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Quân nhân chuyên nghiệp, công nhân và viên chức quốc phòng</w:t>
      </w:r>
      <w:r w:rsidRPr="006F37C4">
        <w:rPr>
          <w:rFonts w:ascii="Arial" w:eastAsia="Times New Roman" w:hAnsi="Arial" w:cs="Arial"/>
          <w:color w:val="000000"/>
          <w:sz w:val="26"/>
          <w:szCs w:val="26"/>
        </w:rPr>
        <w:fldChar w:fldCharType="end"/>
      </w:r>
      <w:bookmarkEnd w:id="76"/>
      <w:r w:rsidRPr="006F37C4">
        <w:rPr>
          <w:rFonts w:ascii="Arial" w:eastAsia="Times New Roman" w:hAnsi="Arial" w:cs="Arial"/>
          <w:color w:val="000000"/>
          <w:sz w:val="26"/>
          <w:szCs w:val="26"/>
        </w:rPr>
        <w:t> và các văn bản hướng dẫn.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 Đối với sĩ quan, hạ sĩ quan hưởng lương và công nhân công an thì tuổi nghỉ hưu thực hiện theo quy định của </w:t>
      </w:r>
      <w:bookmarkStart w:id="77" w:name="tvpllink_ogpuvczgfe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"https://thuvienphapluat.vn/van-ban/Bo-may-hanh-chinh/Luat-Cong-an-nhan-dan-384487.aspx"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Công an nhân dân</w:t>
      </w:r>
      <w:r w:rsidRPr="006F37C4">
        <w:rPr>
          <w:rFonts w:ascii="Arial" w:eastAsia="Times New Roman" w:hAnsi="Arial" w:cs="Arial"/>
          <w:color w:val="000000"/>
          <w:sz w:val="26"/>
          <w:szCs w:val="26"/>
        </w:rPr>
        <w:fldChar w:fldCharType="end"/>
      </w:r>
      <w:bookmarkEnd w:id="77"/>
      <w:r w:rsidRPr="006F37C4">
        <w:rPr>
          <w:rFonts w:ascii="Arial" w:eastAsia="Times New Roman" w:hAnsi="Arial" w:cs="Arial"/>
          <w:color w:val="000000"/>
          <w:sz w:val="26"/>
          <w:szCs w:val="26"/>
        </w:rPr>
        <w:t> và các văn bản hướng dẫn.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lastRenderedPageBreak/>
        <w:t>d) Đối với người làm việc trong tổ chức cơ yếu; lao động hợp đồng hưởng lương từ ngân sách nhà nước thuộc Công an nhân dân, thì tuổi nghỉ hưu thực hiện theo quy định của </w:t>
      </w:r>
      <w:bookmarkStart w:id="78" w:name="tvpllink_cdsqhkxstz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"https://thuvienphapluat.vn/van-ban/Bao-hiem/Luat-Bao-hiem-xa-hoi-2014-259700.aspx"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Bảo hiểm xã hội</w:t>
      </w:r>
      <w:r w:rsidRPr="006F37C4">
        <w:rPr>
          <w:rFonts w:ascii="Arial" w:eastAsia="Times New Roman" w:hAnsi="Arial" w:cs="Arial"/>
          <w:color w:val="000000"/>
          <w:sz w:val="26"/>
          <w:szCs w:val="26"/>
        </w:rPr>
        <w:fldChar w:fldCharType="end"/>
      </w:r>
      <w:bookmarkEnd w:id="78"/>
      <w:r w:rsidRPr="006F37C4">
        <w:rPr>
          <w:rFonts w:ascii="Arial" w:eastAsia="Times New Roman" w:hAnsi="Arial" w:cs="Arial"/>
          <w:color w:val="000000"/>
          <w:sz w:val="26"/>
          <w:szCs w:val="26"/>
        </w:rPr>
        <w:t> và Nghị định số </w:t>
      </w:r>
      <w:bookmarkStart w:id="79" w:name="tvpllink_xsdmbercve_13"/>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"https://thuvienphapluat.vn/van-ban/lao-dong-tien-luong/nghi-dinh-135-2020-nd-cp-tuoi-nghi-huu-445512.aspx"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135/2020/NĐ-CP</w:t>
      </w:r>
      <w:r w:rsidRPr="006F37C4">
        <w:rPr>
          <w:rFonts w:ascii="Arial" w:eastAsia="Times New Roman" w:hAnsi="Arial" w:cs="Arial"/>
          <w:color w:val="000000"/>
          <w:sz w:val="26"/>
          <w:szCs w:val="26"/>
        </w:rPr>
        <w:fldChar w:fldCharType="end"/>
      </w:r>
      <w:bookmarkEnd w:id="79"/>
      <w:r w:rsidRPr="006F37C4">
        <w:rPr>
          <w:rFonts w:ascii="Arial" w:eastAsia="Times New Roman" w:hAnsi="Arial" w:cs="Arial"/>
          <w:color w:val="000000"/>
          <w:sz w:val="26"/>
          <w:szCs w:val="26"/>
        </w:rPr>
        <w:t>.</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80" w:name="dieu_16"/>
      <w:r w:rsidRPr="006F37C4">
        <w:rPr>
          <w:rFonts w:ascii="Arial" w:eastAsia="Times New Roman" w:hAnsi="Arial" w:cs="Arial"/>
          <w:b/>
          <w:bCs/>
          <w:color w:val="000000"/>
          <w:sz w:val="26"/>
          <w:szCs w:val="26"/>
        </w:rPr>
        <w:t>Điều 16. Nguồn kinh phí</w:t>
      </w:r>
      <w:bookmarkEnd w:id="80"/>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Đối với cán bộ, công chức; cán bộ, công chức cấp xã; lực lượng vũ trang và người lao động (trừ người lao động trong đơn vị sự nghiệp công lập): Kinh phí giải quyết chính sách, chế độ do ngân sách nhà nước cấp.</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Đối với viên chức và người lao động trong đơn vị sự nghiệp công lập:</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b) Đối với đơn vị sự nghiệp công lập do ngân sách nhà nước đảm bảo một phần chi thường xuyên: Kinh phí giải quyết chính sách, chế độ từ nguồn thu hoạt động sự nghiệp của đơn vị, nguồn ngân sách nhà nước cấp và nguồn thu hợp pháp khác. Ngân sách nhà nước sẽ bố trí kinh phí giải quyết chính sách, chế độ trên số lượng người làm việc hưởng lương từ ngân sách nhà nước được cấp có thẩm quyền giao.</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 Đối với đơn vị sự nghiệp công lập do ngân sách nhà nước đảm bảo chi thường xuyên: Kinh phí giải quyết chính sách, chế độ do ngân sách nhà nước cấp.</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Đối với các cơ quan, tổ chức, đơn vị sau hợp nhất, sáp nhập thực hiện đào tạo, bồi dưỡng nâng cao trình độ chuyên môn, nghiệp vụ, phù hợp với vị trí việc làm đối với cán bộ, công chức, viên chức: Ngoài kinh phí đào tạo, bồi dưỡng đối với cán bộ, công chức, viên chức đã được bố trí hằng năm theo quy định, được cấp bổ sung kinh phí đào tạo, bồi dưỡng bằng 5% tổng quỹ lương cơ bản (không bao gồm phụ cấp) trong năm đầu thực hiện sắp xếp tổ chức bộ máy.</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Ngân sách nhà nước bảo đảm đủ toàn bộ khoản kinh phí tương đương với số tiền đóng bảo hiểm xã hội vào quỹ bảo hiểm hưu trí và tử tuất cho thời gian cán bộ, công chức, viên chức và người lao động được nghỉ hưu trước tuổi trong thời gian từ đủ 05 năm đến đủ tuổi nghỉ hưu theo quy định mà không bị trừ tỷ lệ hưởng lương hưu.</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81" w:name="chuong_3"/>
      <w:r w:rsidRPr="006F37C4">
        <w:rPr>
          <w:rFonts w:ascii="Arial" w:eastAsia="Times New Roman" w:hAnsi="Arial" w:cs="Arial"/>
          <w:b/>
          <w:bCs/>
          <w:color w:val="000000"/>
          <w:sz w:val="26"/>
          <w:szCs w:val="26"/>
        </w:rPr>
        <w:t>Chương III</w:t>
      </w:r>
      <w:bookmarkEnd w:id="81"/>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82" w:name="chuong_3_name"/>
      <w:r w:rsidRPr="006F37C4">
        <w:rPr>
          <w:rFonts w:ascii="Arial" w:eastAsia="Times New Roman" w:hAnsi="Arial" w:cs="Arial"/>
          <w:b/>
          <w:bCs/>
          <w:color w:val="000000"/>
          <w:sz w:val="26"/>
          <w:szCs w:val="26"/>
        </w:rPr>
        <w:t>ĐIỀU KHOẢN THI HÀNH</w:t>
      </w:r>
      <w:bookmarkEnd w:id="82"/>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83" w:name="dieu_17"/>
      <w:r w:rsidRPr="006F37C4">
        <w:rPr>
          <w:rFonts w:ascii="Arial" w:eastAsia="Times New Roman" w:hAnsi="Arial" w:cs="Arial"/>
          <w:b/>
          <w:bCs/>
          <w:color w:val="000000"/>
          <w:sz w:val="26"/>
          <w:szCs w:val="26"/>
        </w:rPr>
        <w:t>Điều 17. Trách nhiệm của người đứng đầu cơ quan, tổ chức, đơn vị trực tiếp quản lý, sử dụng cán bộ, công chức, viên chức</w:t>
      </w:r>
      <w:bookmarkEnd w:id="83"/>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Triển khai thực hiện chính sách, chế độ theo quy định tại Nghị định này.</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 xml:space="preserve">2. Căn cứ hướng dẫn của cơ quan có thẩm quyền về đánh giá cán bộ, công chức, viên chức và người lao động trong thực hiện sắp xếp tổ chức bộ máy, người đứng đầu cơ quan, tổ chức, đơn vị lấy ý kiến tập thể lãnh đạo cấp ủy, chính quyền cùng cấp để ban hành tiêu chí đánh giá và tiến hành thực hiện rà soát tổng thể chất lượng cán bộ, công chức, viên chức và người lao động thuộc phạm vi quản lý; trên cơ sở đó, xác định đối tượng phải nghỉ việc do sắp xếp thuộc đối tượng được </w:t>
      </w:r>
      <w:r w:rsidRPr="006F37C4">
        <w:rPr>
          <w:rFonts w:ascii="Arial" w:eastAsia="Times New Roman" w:hAnsi="Arial" w:cs="Arial"/>
          <w:color w:val="000000"/>
          <w:sz w:val="26"/>
          <w:szCs w:val="26"/>
        </w:rPr>
        <w:lastRenderedPageBreak/>
        <w:t>hưởng chính sách, chế độ của Nghị định này để sắp xếp tổ chức bộ máy tinh gọn, tinh giảm biên chế, cơ cấu lại và nâng cao chất lượng đội ngũ cán bộ, công chức, viên chức, nâng cao hiệu lực, hiệu quả hoạt động; báo cáo cấp có thẩm quyền xem xét, quyết định.</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Trường hợp trong quá trình sắp xếp tổ chức bộ máy cơ quan, tổ chức, đơn vị, nếu cán bộ, công chức, viên chức và người lao động đủ điều kiện áp dụng quy định tại Nghị định này có đơn tự nguyện xin nghỉ hưu trước tuổi hoặc nghỉ thôi việc, thì người đứng đầu cơ quan, tổ chức, đơn vị phải lập danh sách và dự toán số tiền thực hiện chính sách đối với từng trường hợp, trình cấp có thẩm quyền xem xét, phê duyệt; nếu không đồng ý thì phải trả lời bằng văn bản và nêu rõ lý do.</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Sau khi được cấp có thẩm quyền phê duyệt thì kịp thời thực hiện chi trả chính sách, chế độ cho cán bộ, công chức, viên chức theo đúng quy định của pháp luật.</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84" w:name="dieu_18"/>
      <w:r w:rsidRPr="006F37C4">
        <w:rPr>
          <w:rFonts w:ascii="Arial" w:eastAsia="Times New Roman" w:hAnsi="Arial" w:cs="Arial"/>
          <w:b/>
          <w:bCs/>
          <w:color w:val="000000"/>
          <w:sz w:val="26"/>
          <w:szCs w:val="26"/>
        </w:rPr>
        <w:t>Điều 18. Trách nhiệm của Bộ trưởng, Thủ trưởng cơ quan ngang bộ, Thủ trưởng cơ quan thuộc Chính phủ, người đứng đầu các tổ chức do Chính phủ, Thủ tướng Chính phủ thành lập mà không phải là đơn vị sự nghiệp công lập</w:t>
      </w:r>
      <w:bookmarkEnd w:id="84"/>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Ban hành văn bản hành chính hướng dẫn các tiêu chí cụ thể hóa quy định tại </w:t>
      </w:r>
      <w:bookmarkStart w:id="85" w:name="tc_14"/>
      <w:r w:rsidRPr="006F37C4">
        <w:rPr>
          <w:rFonts w:ascii="Arial" w:eastAsia="Times New Roman" w:hAnsi="Arial" w:cs="Arial"/>
          <w:color w:val="000000"/>
          <w:sz w:val="26"/>
          <w:szCs w:val="26"/>
        </w:rPr>
        <w:t>Điều 6 Nghị định này</w:t>
      </w:r>
      <w:bookmarkEnd w:id="85"/>
      <w:r w:rsidRPr="006F37C4">
        <w:rPr>
          <w:rFonts w:ascii="Arial" w:eastAsia="Times New Roman" w:hAnsi="Arial" w:cs="Arial"/>
          <w:color w:val="000000"/>
          <w:sz w:val="26"/>
          <w:szCs w:val="26"/>
        </w:rPr>
        <w:t>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w:t>
      </w:r>
      <w:bookmarkStart w:id="86" w:name="tc_15"/>
      <w:r w:rsidRPr="006F37C4">
        <w:rPr>
          <w:rFonts w:ascii="Arial" w:eastAsia="Times New Roman" w:hAnsi="Arial" w:cs="Arial"/>
          <w:color w:val="000000"/>
          <w:sz w:val="26"/>
          <w:szCs w:val="26"/>
        </w:rPr>
        <w:t>Điều 7, Điều 8,</w:t>
      </w:r>
      <w:bookmarkEnd w:id="86"/>
      <w:r w:rsidRPr="006F37C4">
        <w:rPr>
          <w:rFonts w:ascii="Arial" w:eastAsia="Times New Roman" w:hAnsi="Arial" w:cs="Arial"/>
          <w:color w:val="000000"/>
          <w:sz w:val="26"/>
          <w:szCs w:val="26"/>
        </w:rPr>
        <w:t> </w:t>
      </w:r>
      <w:bookmarkStart w:id="87" w:name="tc_16"/>
      <w:r w:rsidRPr="006F37C4">
        <w:rPr>
          <w:rFonts w:ascii="Arial" w:eastAsia="Times New Roman" w:hAnsi="Arial" w:cs="Arial"/>
          <w:color w:val="000000"/>
          <w:sz w:val="26"/>
          <w:szCs w:val="26"/>
        </w:rPr>
        <w:t>Điều 9 và Điều 10</w:t>
      </w:r>
      <w:bookmarkEnd w:id="87"/>
      <w:r w:rsidRPr="006F37C4">
        <w:rPr>
          <w:rFonts w:ascii="Arial" w:eastAsia="Times New Roman" w:hAnsi="Arial" w:cs="Arial"/>
          <w:color w:val="000000"/>
          <w:sz w:val="26"/>
          <w:szCs w:val="26"/>
        </w:rPr>
        <w:t>, lập dự toán kinh phí thực hiện; trình cấp có thẩm quyền xem xét, quyết định theo phân cấp quản lý.</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Chỉ đạo cơ quan tổ chức cán bộ, cơ quan tài chính thẩm định danh sách đối tượng, kinh phí thực hiện chính sách, chế độ và quyết định theo thẩm quyền phân cấp; trên cơ sở đó, thực hiện chính sách, chế độ đối với cán bộ, công chức, viên chức và người lao động được nghỉ việc theo đúng quy định.</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Chỉ đạo xây dựng kế hoạch cử cán bộ, công chức, viên chức thuộc phạm vi quản lý tăng cường đi công tác ở cơ sở và đi đào tạo, bồi dưỡng nâng cao trình độ chuyên môn, nghiệp vụ sau sắp xếp.</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88" w:name="tc_17"/>
      <w:r w:rsidRPr="006F37C4">
        <w:rPr>
          <w:rFonts w:ascii="Arial" w:eastAsia="Times New Roman" w:hAnsi="Arial" w:cs="Arial"/>
          <w:color w:val="000000"/>
          <w:sz w:val="26"/>
          <w:szCs w:val="26"/>
        </w:rPr>
        <w:t>khoản 1, khoản 2 Điều 13 Nghị định này</w:t>
      </w:r>
      <w:bookmarkEnd w:id="88"/>
      <w:r w:rsidRPr="006F37C4">
        <w:rPr>
          <w:rFonts w:ascii="Arial" w:eastAsia="Times New Roman" w:hAnsi="Arial" w:cs="Arial"/>
          <w:color w:val="000000"/>
          <w:sz w:val="26"/>
          <w:szCs w:val="26"/>
        </w:rPr>
        <w:t> và các văn bản quy phạm pháp luật có liên quan.</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 xml:space="preserve">6.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w:t>
      </w:r>
      <w:r w:rsidRPr="006F37C4">
        <w:rPr>
          <w:rFonts w:ascii="Arial" w:eastAsia="Times New Roman" w:hAnsi="Arial" w:cs="Arial"/>
          <w:color w:val="000000"/>
          <w:sz w:val="26"/>
          <w:szCs w:val="26"/>
        </w:rPr>
        <w:lastRenderedPageBreak/>
        <w:t>phí thực hiện chính sách, chế độ để tổng hợp, trình cấp có thẩm quyền bố trí, giao dự toán kinh phí thực hiện chính sách, chế độ trong dự toán ngân sách nhà nước của năm sau liền kề.</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89" w:name="dieu_19"/>
      <w:r w:rsidRPr="006F37C4">
        <w:rPr>
          <w:rFonts w:ascii="Arial" w:eastAsia="Times New Roman" w:hAnsi="Arial" w:cs="Arial"/>
          <w:b/>
          <w:bCs/>
          <w:color w:val="000000"/>
          <w:sz w:val="26"/>
          <w:szCs w:val="26"/>
        </w:rPr>
        <w:t>Điều 19. Trách nhiệm Ủy ban nhân dân tỉnh, thành phố trực thuộc trung ương</w:t>
      </w:r>
      <w:bookmarkEnd w:id="89"/>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Ban hành văn bản hành chính hướng dẫn các tiêu chí cụ thể hóa quy định tại </w:t>
      </w:r>
      <w:bookmarkStart w:id="90" w:name="tc_18"/>
      <w:r w:rsidRPr="006F37C4">
        <w:rPr>
          <w:rFonts w:ascii="Arial" w:eastAsia="Times New Roman" w:hAnsi="Arial" w:cs="Arial"/>
          <w:color w:val="000000"/>
          <w:sz w:val="26"/>
          <w:szCs w:val="26"/>
        </w:rPr>
        <w:t>Điều 6 Nghị định này</w:t>
      </w:r>
      <w:bookmarkEnd w:id="90"/>
      <w:r w:rsidRPr="006F37C4">
        <w:rPr>
          <w:rFonts w:ascii="Arial" w:eastAsia="Times New Roman" w:hAnsi="Arial" w:cs="Arial"/>
          <w:color w:val="000000"/>
          <w:sz w:val="26"/>
          <w:szCs w:val="26"/>
        </w:rPr>
        <w:t>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w:t>
      </w:r>
      <w:bookmarkStart w:id="91" w:name="tc_19"/>
      <w:r w:rsidRPr="006F37C4">
        <w:rPr>
          <w:rFonts w:ascii="Arial" w:eastAsia="Times New Roman" w:hAnsi="Arial" w:cs="Arial"/>
          <w:color w:val="000000"/>
          <w:sz w:val="26"/>
          <w:szCs w:val="26"/>
        </w:rPr>
        <w:t>Điều 7, Điều 9 và Điều 10</w:t>
      </w:r>
      <w:bookmarkEnd w:id="91"/>
      <w:r w:rsidRPr="006F37C4">
        <w:rPr>
          <w:rFonts w:ascii="Arial" w:eastAsia="Times New Roman" w:hAnsi="Arial" w:cs="Arial"/>
          <w:color w:val="000000"/>
          <w:sz w:val="26"/>
          <w:szCs w:val="26"/>
        </w:rPr>
        <w:t>, lập dự toán kinh phí thực hiện; trình cấp có thẩm quyền xem xét, quyết định theo phân cấp quản lý.</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Chỉ đạo cơ quan Nội vụ, cơ quan Tài chính thẩm định danh sách đối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4. Chỉ đạo xây dựng kế hoạch cử cán bộ, công chức, viên chức thuộc phạm vi quản lý tăng cường đi công tác ở cơ sở và đi đào tạo, bồi dưỡng nâng cao trình độ chuyên môn, nghiệp vụ sau sắp xếp; đồng thời chỉ đạo các cơ quan, tổ chức, đơn vị tổ chức tiếp nhận, tạo điều kiện làm việc thuận lợi, bố trí nhà ở công vụ theo thực tế của địa phương cho cán bộ, công chức, viên chức được tăng cường về địa phương mình.</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92" w:name="tc_20"/>
      <w:r w:rsidRPr="006F37C4">
        <w:rPr>
          <w:rFonts w:ascii="Arial" w:eastAsia="Times New Roman" w:hAnsi="Arial" w:cs="Arial"/>
          <w:color w:val="000000"/>
          <w:sz w:val="26"/>
          <w:szCs w:val="26"/>
        </w:rPr>
        <w:t>khoản 1, khoản 2 Điều 13 Nghị định này</w:t>
      </w:r>
      <w:bookmarkEnd w:id="92"/>
      <w:r w:rsidRPr="006F37C4">
        <w:rPr>
          <w:rFonts w:ascii="Arial" w:eastAsia="Times New Roman" w:hAnsi="Arial" w:cs="Arial"/>
          <w:color w:val="000000"/>
          <w:sz w:val="26"/>
          <w:szCs w:val="26"/>
        </w:rPr>
        <w:t> và các văn bản quy phạm pháp luật có liên quan.</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6. Căn cứ khả năng cân đối ngân sách địa phương, trình Hội đồng nhân dân cùng cấp ban hành chính sách hỗ trợ thêm đối với các đối tượng thuộc phạm vi quản lý.</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7.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chung vào nhu cầu cải cách tiền lương trong dự toán ngân sách nhà nước của năm sau liền kề của địa phương.</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93" w:name="dieu_20"/>
      <w:r w:rsidRPr="006F37C4">
        <w:rPr>
          <w:rFonts w:ascii="Arial" w:eastAsia="Times New Roman" w:hAnsi="Arial" w:cs="Arial"/>
          <w:b/>
          <w:bCs/>
          <w:color w:val="000000"/>
          <w:sz w:val="26"/>
          <w:szCs w:val="26"/>
        </w:rPr>
        <w:t>Điều 20. Trách nhiệm của Bộ Nội vụ</w:t>
      </w:r>
      <w:bookmarkEnd w:id="93"/>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Hướng dẫn thực hiện các chính sách, chế độ quy định tại Nghị định này.</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Kiểm tra việc thực hiện các quy định về giải quyết chính sách, chế độ tại các bộ, ngành, địa phương.</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lastRenderedPageBreak/>
        <w:t>3. Phối hợp với cơ quan chức năng chỉ đạo cơ quan Bảo hiểm xã hội và cơ quan liên quan giải quyết chế độ bảo hiểm xã hội, bảo hiểm thất nghiệp đối với các đối tượng được hưởng theo quy định của pháp luật về bảo hiểm xã hội, bảo hiểm thất nghiệp.</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94" w:name="dieu_21"/>
      <w:r w:rsidRPr="006F37C4">
        <w:rPr>
          <w:rFonts w:ascii="Arial" w:eastAsia="Times New Roman" w:hAnsi="Arial" w:cs="Arial"/>
          <w:b/>
          <w:bCs/>
          <w:color w:val="000000"/>
          <w:sz w:val="26"/>
          <w:szCs w:val="26"/>
        </w:rPr>
        <w:t>Điều 21. Trách nhiệm của Bộ Tài chính</w:t>
      </w:r>
      <w:bookmarkEnd w:id="94"/>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Hướng dẫn việc xác định nguồn kinh phí và việc lập dự toán, quản lý, sử dụng và quyết toán kinh phí thực hiện chính sách quy định tại Nghị định này.</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Bố trí kinh phí để thực hiện chính sách, chế độ, trình cấp có thẩm quyền quyết định theo quy định của </w:t>
      </w:r>
      <w:bookmarkStart w:id="95" w:name="tvpllink_orzgiqxtpn"/>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"https://thuvienphapluat.vn/van-ban/Tai-chinh-nha-nuoc/Luat-ngan-sach-nha-nuoc-nam-2015-281762.aspx"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Ngân sách nhà nước</w:t>
      </w:r>
      <w:r w:rsidRPr="006F37C4">
        <w:rPr>
          <w:rFonts w:ascii="Arial" w:eastAsia="Times New Roman" w:hAnsi="Arial" w:cs="Arial"/>
          <w:color w:val="000000"/>
          <w:sz w:val="26"/>
          <w:szCs w:val="26"/>
        </w:rPr>
        <w:fldChar w:fldCharType="end"/>
      </w:r>
      <w:bookmarkEnd w:id="95"/>
      <w:r w:rsidRPr="006F37C4">
        <w:rPr>
          <w:rFonts w:ascii="Arial" w:eastAsia="Times New Roman" w:hAnsi="Arial" w:cs="Arial"/>
          <w:color w:val="000000"/>
          <w:sz w:val="26"/>
          <w:szCs w:val="26"/>
        </w:rPr>
        <w:t>.</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3. Chỉ đạo cơ quan Bảo hiểm xã hội tính toán khoản kinh phí ngân sách nhà nước phải bảo đảm tương đương với số tiền đóng bảo hiểm xã hội vào quỹ bảo hiểm hưu trí và tử tuất quy định tại </w:t>
      </w:r>
      <w:bookmarkStart w:id="96" w:name="tc_21"/>
      <w:r w:rsidRPr="006F37C4">
        <w:rPr>
          <w:rFonts w:ascii="Arial" w:eastAsia="Times New Roman" w:hAnsi="Arial" w:cs="Arial"/>
          <w:color w:val="000000"/>
          <w:sz w:val="26"/>
          <w:szCs w:val="26"/>
        </w:rPr>
        <w:t>khoản 4 Điều 16 Nghị định này</w:t>
      </w:r>
      <w:bookmarkEnd w:id="96"/>
      <w:r w:rsidRPr="006F37C4">
        <w:rPr>
          <w:rFonts w:ascii="Arial" w:eastAsia="Times New Roman" w:hAnsi="Arial" w:cs="Arial"/>
          <w:color w:val="000000"/>
          <w:sz w:val="26"/>
          <w:szCs w:val="26"/>
        </w:rPr>
        <w:t>.</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97" w:name="dieu_22"/>
      <w:r w:rsidRPr="006F37C4">
        <w:rPr>
          <w:rFonts w:ascii="Arial" w:eastAsia="Times New Roman" w:hAnsi="Arial" w:cs="Arial"/>
          <w:b/>
          <w:bCs/>
          <w:color w:val="000000"/>
          <w:sz w:val="26"/>
          <w:szCs w:val="26"/>
        </w:rPr>
        <w:t>Điều 22. Trách nhiệm của Bộ Quốc phòng và Bộ Công an</w:t>
      </w:r>
      <w:bookmarkEnd w:id="97"/>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Hướng dẫn và tổ chức thực hiện quy định tại </w:t>
      </w:r>
      <w:bookmarkStart w:id="98" w:name="tc_22"/>
      <w:r w:rsidRPr="006F37C4">
        <w:rPr>
          <w:rFonts w:ascii="Arial" w:eastAsia="Times New Roman" w:hAnsi="Arial" w:cs="Arial"/>
          <w:color w:val="000000"/>
          <w:sz w:val="26"/>
          <w:szCs w:val="26"/>
        </w:rPr>
        <w:t>Điều 15 Nghị định này</w:t>
      </w:r>
      <w:bookmarkEnd w:id="98"/>
      <w:r w:rsidRPr="006F37C4">
        <w:rPr>
          <w:rFonts w:ascii="Arial" w:eastAsia="Times New Roman" w:hAnsi="Arial" w:cs="Arial"/>
          <w:color w:val="000000"/>
          <w:sz w:val="26"/>
          <w:szCs w:val="26"/>
        </w:rPr>
        <w:t> đối với các đối tượng thuộc phạm vi quản lý.</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99" w:name="dieu_23"/>
      <w:r w:rsidRPr="006F37C4">
        <w:rPr>
          <w:rFonts w:ascii="Arial" w:eastAsia="Times New Roman" w:hAnsi="Arial" w:cs="Arial"/>
          <w:b/>
          <w:bCs/>
          <w:color w:val="000000"/>
          <w:sz w:val="26"/>
          <w:szCs w:val="26"/>
        </w:rPr>
        <w:t>Điều 23. Trách nhiệm của đơn vị sự nghiệp công lập</w:t>
      </w:r>
      <w:bookmarkEnd w:id="99"/>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Đơn vị sự nghiệp công lập tự đảm bảo chi thường xuyên và chi đầu tư; đơn vị sự nghiệp công lập tự đảm bảo chi thường xuyên căn cứ nguồn thu hoạt động sự nghiệp của đơn vị và nguồn thu hợp pháp khác của đơn vị quyết định mức chi chính sách, chế độ đối với viên chức và người lao động thuộc phạm vi quản lý nhưng không thấp hơn chính sách, chế độ quy định tại Nghị định này.</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100" w:name="dieu_24"/>
      <w:r w:rsidRPr="006F37C4">
        <w:rPr>
          <w:rFonts w:ascii="Arial" w:eastAsia="Times New Roman" w:hAnsi="Arial" w:cs="Arial"/>
          <w:b/>
          <w:bCs/>
          <w:color w:val="000000"/>
          <w:sz w:val="26"/>
          <w:szCs w:val="26"/>
        </w:rPr>
        <w:t>Điều 24. Hiệu lực thi hành</w:t>
      </w:r>
      <w:bookmarkEnd w:id="100"/>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Nghị định này có hiệu lực thi hành kể từ ngày 01 tháng 01 năm 2025.</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Đối với những người đã hưởng chính sách quy định tại Nghị định số </w:t>
      </w:r>
      <w:bookmarkStart w:id="101" w:name="tvpllink_lbsvwkmuas"/>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"https://thuvienphapluat.vn/van-ban/Bo-may-hanh-chinh/Nghi-dinh-29-2023-ND-CP-tinh-gian-bien-che-558755.aspx"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29/2023/NĐ-CP</w:t>
      </w:r>
      <w:r w:rsidRPr="006F37C4">
        <w:rPr>
          <w:rFonts w:ascii="Arial" w:eastAsia="Times New Roman" w:hAnsi="Arial" w:cs="Arial"/>
          <w:color w:val="000000"/>
          <w:sz w:val="26"/>
          <w:szCs w:val="26"/>
        </w:rPr>
        <w:fldChar w:fldCharType="end"/>
      </w:r>
      <w:bookmarkEnd w:id="101"/>
      <w:r w:rsidRPr="006F37C4">
        <w:rPr>
          <w:rFonts w:ascii="Arial" w:eastAsia="Times New Roman" w:hAnsi="Arial" w:cs="Arial"/>
          <w:color w:val="000000"/>
          <w:sz w:val="26"/>
          <w:szCs w:val="26"/>
        </w:rPr>
        <w:t> ngày 03 tháng 6 năm 2023 của Chính phủ về tinh giản biên chế trước ngày 01 tháng 01 năm 2025 thì không được hưởng chính sách, chế độ quy định tại Nghị định này.</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102" w:name="dieu_25"/>
      <w:r w:rsidRPr="006F37C4">
        <w:rPr>
          <w:rFonts w:ascii="Arial" w:eastAsia="Times New Roman" w:hAnsi="Arial" w:cs="Arial"/>
          <w:b/>
          <w:bCs/>
          <w:color w:val="000000"/>
          <w:sz w:val="26"/>
          <w:szCs w:val="26"/>
        </w:rPr>
        <w:t>Điều 25. Điều khoản chuyển tiếp</w:t>
      </w:r>
      <w:bookmarkEnd w:id="102"/>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Các trường hợp đang thực hiện giải quyết chính sách, chế độ do sắp xếp tổ chức bộ máy, đơn vị hành chính cấp huyện, cấp xã theo quy định tại Nghị định số </w:t>
      </w:r>
      <w:bookmarkStart w:id="103" w:name="tvpllink_lbsvwkmuas_1"/>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"https://thuvienphapluat.vn/van-ban/Bo-may-hanh-chinh/Nghi-dinh-29-2023-ND-CP-tinh-gian-bien-che-558755.aspx"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29/2023/NĐ-CP</w:t>
      </w:r>
      <w:r w:rsidRPr="006F37C4">
        <w:rPr>
          <w:rFonts w:ascii="Arial" w:eastAsia="Times New Roman" w:hAnsi="Arial" w:cs="Arial"/>
          <w:color w:val="000000"/>
          <w:sz w:val="26"/>
          <w:szCs w:val="26"/>
        </w:rPr>
        <w:fldChar w:fldCharType="end"/>
      </w:r>
      <w:bookmarkEnd w:id="103"/>
      <w:r w:rsidRPr="006F37C4">
        <w:rPr>
          <w:rFonts w:ascii="Arial" w:eastAsia="Times New Roman" w:hAnsi="Arial" w:cs="Arial"/>
          <w:color w:val="000000"/>
          <w:sz w:val="26"/>
          <w:szCs w:val="26"/>
        </w:rPr>
        <w:t> nhưng cơ quan có thẩm quyền chưa ban hành quyết định hưởng chính sách, chế độ thì được áp dụng chính sách, chế độ quy định tại Nghị định này.</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104" w:name="dieu_26"/>
      <w:r w:rsidRPr="006F37C4">
        <w:rPr>
          <w:rFonts w:ascii="Arial" w:eastAsia="Times New Roman" w:hAnsi="Arial" w:cs="Arial"/>
          <w:b/>
          <w:bCs/>
          <w:color w:val="000000"/>
          <w:sz w:val="26"/>
          <w:szCs w:val="26"/>
        </w:rPr>
        <w:t>Điều 26. Áp dụng chính sách khen thưởng đối với cán bộ không đủ điều kiện về tuổi tái cử, tái bổ nhiệm giữ các chức vụ, chức danh theo nhiệm kỳ trong cơ quan của Đảng Cộng sản Việt Nam, Nhà nước, tổ chức chính trị - xã hội</w:t>
      </w:r>
      <w:bookmarkEnd w:id="104"/>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Cán bộ không đủ điều kiện về tuổi tái cử, tái bổ nhiệm giữ các chức vụ, chức danh theo nhiệm kỳ trong cơ quan của Đảng Cộng sản Việt Nam, Nhà nước, tổ chức chính trị - xã hội thuộc đối tượng khen thưởng quá trình cống hiến theo quy định của, </w:t>
      </w:r>
      <w:bookmarkStart w:id="105" w:name="tvpllink_mqzjvkhjyn_6"/>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105"/>
      <w:r w:rsidRPr="006F37C4">
        <w:rPr>
          <w:rFonts w:ascii="Arial" w:eastAsia="Times New Roman" w:hAnsi="Arial" w:cs="Arial"/>
          <w:color w:val="000000"/>
          <w:sz w:val="26"/>
          <w:szCs w:val="26"/>
        </w:rPr>
        <w:t> và Nghị định số </w:t>
      </w:r>
      <w:bookmarkStart w:id="106" w:name="tvpllink_xeegzhrzvz_2"/>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"https://thuvienphapluat.vn/van-ban/Bo-may-hanh-chinh/Nghi-dinh-98-2023-ND-CP-huong-dan-Luat-Thi-dua-khen-thuong-594016.aspx"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98/2023/NĐ-CP</w:t>
      </w:r>
      <w:r w:rsidRPr="006F37C4">
        <w:rPr>
          <w:rFonts w:ascii="Arial" w:eastAsia="Times New Roman" w:hAnsi="Arial" w:cs="Arial"/>
          <w:color w:val="000000"/>
          <w:sz w:val="26"/>
          <w:szCs w:val="26"/>
        </w:rPr>
        <w:fldChar w:fldCharType="end"/>
      </w:r>
      <w:bookmarkEnd w:id="106"/>
      <w:r w:rsidRPr="006F37C4">
        <w:rPr>
          <w:rFonts w:ascii="Arial" w:eastAsia="Times New Roman" w:hAnsi="Arial" w:cs="Arial"/>
          <w:color w:val="000000"/>
          <w:sz w:val="26"/>
          <w:szCs w:val="26"/>
        </w:rPr>
        <w:t> nghỉ hưu trước tuổi, được áp dụng quy định tại </w:t>
      </w:r>
      <w:bookmarkStart w:id="107" w:name="tc_23"/>
      <w:r w:rsidRPr="006F37C4">
        <w:rPr>
          <w:rFonts w:ascii="Arial" w:eastAsia="Times New Roman" w:hAnsi="Arial" w:cs="Arial"/>
          <w:color w:val="000000"/>
          <w:sz w:val="26"/>
          <w:szCs w:val="26"/>
        </w:rPr>
        <w:t>khoản 3 Điều 7 Nghị định này</w:t>
      </w:r>
      <w:bookmarkEnd w:id="107"/>
      <w:r w:rsidRPr="006F37C4">
        <w:rPr>
          <w:rFonts w:ascii="Arial" w:eastAsia="Times New Roman" w:hAnsi="Arial" w:cs="Arial"/>
          <w:color w:val="000000"/>
          <w:sz w:val="26"/>
          <w:szCs w:val="26"/>
        </w:rPr>
        <w:t> để xét khen thưởng quá trình cống hiến theo quy định của </w:t>
      </w:r>
      <w:bookmarkStart w:id="108" w:name="tvpllink_mqzjvkhjyn_7"/>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"https://thuvienphapluat.vn/van-ban/Linh-vuc-khac/Luat-Thi-dua-Khen-thuong-2022-418232.aspx"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Luật Thi đua, khen thưởng</w:t>
      </w:r>
      <w:r w:rsidRPr="006F37C4">
        <w:rPr>
          <w:rFonts w:ascii="Arial" w:eastAsia="Times New Roman" w:hAnsi="Arial" w:cs="Arial"/>
          <w:color w:val="000000"/>
          <w:sz w:val="26"/>
          <w:szCs w:val="26"/>
        </w:rPr>
        <w:fldChar w:fldCharType="end"/>
      </w:r>
      <w:bookmarkEnd w:id="108"/>
      <w:r w:rsidRPr="006F37C4">
        <w:rPr>
          <w:rFonts w:ascii="Arial" w:eastAsia="Times New Roman" w:hAnsi="Arial" w:cs="Arial"/>
          <w:color w:val="000000"/>
          <w:sz w:val="26"/>
          <w:szCs w:val="26"/>
        </w:rPr>
        <w:t xml:space="preserve"> và Nghị định </w:t>
      </w:r>
      <w:r w:rsidRPr="006F37C4">
        <w:rPr>
          <w:rFonts w:ascii="Arial" w:eastAsia="Times New Roman" w:hAnsi="Arial" w:cs="Arial"/>
          <w:color w:val="000000"/>
          <w:sz w:val="26"/>
          <w:szCs w:val="26"/>
        </w:rPr>
        <w:lastRenderedPageBreak/>
        <w:t>số </w:t>
      </w:r>
      <w:bookmarkStart w:id="109" w:name="tvpllink_xeegzhrzvz_3"/>
      <w:r w:rsidRPr="006F37C4">
        <w:rPr>
          <w:rFonts w:ascii="Arial" w:eastAsia="Times New Roman" w:hAnsi="Arial" w:cs="Arial"/>
          <w:color w:val="000000"/>
          <w:sz w:val="26"/>
          <w:szCs w:val="26"/>
        </w:rPr>
        <w:fldChar w:fldCharType="begin"/>
      </w:r>
      <w:r w:rsidRPr="006F37C4">
        <w:rPr>
          <w:rFonts w:ascii="Arial" w:eastAsia="Times New Roman" w:hAnsi="Arial" w:cs="Arial"/>
          <w:color w:val="000000"/>
          <w:sz w:val="26"/>
          <w:szCs w:val="26"/>
        </w:rPr>
        <w:instrText xml:space="preserve"> HYPERLINK "https://thuvienphapluat.vn/van-ban/Bo-may-hanh-chinh/Nghi-dinh-98-2023-ND-CP-huong-dan-Luat-Thi-dua-khen-thuong-594016.aspx" \t "_blank" </w:instrText>
      </w:r>
      <w:r w:rsidRPr="006F37C4">
        <w:rPr>
          <w:rFonts w:ascii="Arial" w:eastAsia="Times New Roman" w:hAnsi="Arial" w:cs="Arial"/>
          <w:color w:val="000000"/>
          <w:sz w:val="26"/>
          <w:szCs w:val="26"/>
        </w:rPr>
        <w:fldChar w:fldCharType="separate"/>
      </w:r>
      <w:r w:rsidRPr="006F37C4">
        <w:rPr>
          <w:rFonts w:ascii="Arial" w:eastAsia="Times New Roman" w:hAnsi="Arial" w:cs="Arial"/>
          <w:color w:val="0E70C3"/>
          <w:sz w:val="26"/>
          <w:szCs w:val="26"/>
        </w:rPr>
        <w:t>98/2023/NĐ-CP</w:t>
      </w:r>
      <w:r w:rsidRPr="006F37C4">
        <w:rPr>
          <w:rFonts w:ascii="Arial" w:eastAsia="Times New Roman" w:hAnsi="Arial" w:cs="Arial"/>
          <w:color w:val="000000"/>
          <w:sz w:val="26"/>
          <w:szCs w:val="26"/>
        </w:rPr>
        <w:fldChar w:fldCharType="end"/>
      </w:r>
      <w:bookmarkEnd w:id="109"/>
      <w:r w:rsidRPr="006F37C4">
        <w:rPr>
          <w:rFonts w:ascii="Arial" w:eastAsia="Times New Roman" w:hAnsi="Arial" w:cs="Arial"/>
          <w:color w:val="000000"/>
          <w:sz w:val="26"/>
          <w:szCs w:val="26"/>
        </w:rPr>
        <w:t> hoặc xem xét các hình thức khen thưởng phù hợp với thành tích đạt được.</w:t>
      </w:r>
    </w:p>
    <w:p w:rsidR="006F37C4" w:rsidRPr="006F37C4" w:rsidRDefault="006F37C4" w:rsidP="006F37C4">
      <w:pPr>
        <w:shd w:val="clear" w:color="auto" w:fill="FFFFFF"/>
        <w:spacing w:after="0" w:line="234" w:lineRule="atLeast"/>
        <w:jc w:val="both"/>
        <w:rPr>
          <w:rFonts w:ascii="Arial" w:eastAsia="Times New Roman" w:hAnsi="Arial" w:cs="Arial"/>
          <w:color w:val="000000"/>
          <w:sz w:val="26"/>
          <w:szCs w:val="26"/>
        </w:rPr>
      </w:pPr>
      <w:bookmarkStart w:id="110" w:name="dieu_27"/>
      <w:r w:rsidRPr="006F37C4">
        <w:rPr>
          <w:rFonts w:ascii="Arial" w:eastAsia="Times New Roman" w:hAnsi="Arial" w:cs="Arial"/>
          <w:b/>
          <w:bCs/>
          <w:color w:val="000000"/>
          <w:sz w:val="26"/>
          <w:szCs w:val="26"/>
        </w:rPr>
        <w:t>Điều 27. Trách nhiệm thi hành</w:t>
      </w:r>
      <w:bookmarkEnd w:id="110"/>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1. Ban Tổ chức Trung ương, Ban Công tác đại biểu thuộc Ủy ban Thường vụ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rsidR="006F37C4" w:rsidRPr="006F37C4" w:rsidRDefault="006F37C4" w:rsidP="006F37C4">
      <w:pPr>
        <w:shd w:val="clear" w:color="auto" w:fill="FFFFFF"/>
        <w:spacing w:before="120" w:after="120" w:line="234" w:lineRule="atLeast"/>
        <w:jc w:val="both"/>
        <w:rPr>
          <w:rFonts w:ascii="Arial" w:eastAsia="Times New Roman" w:hAnsi="Arial" w:cs="Arial"/>
          <w:color w:val="000000"/>
          <w:sz w:val="26"/>
          <w:szCs w:val="26"/>
        </w:rPr>
      </w:pPr>
      <w:r w:rsidRPr="006F37C4">
        <w:rPr>
          <w:rFonts w:ascii="Arial" w:eastAsia="Times New Roman" w:hAnsi="Arial" w:cs="Arial"/>
          <w:color w:val="000000"/>
          <w:sz w:val="26"/>
          <w:szCs w:val="26"/>
        </w:rPr>
        <w:t>2.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6F37C4" w:rsidRPr="006F37C4" w:rsidTr="006F37C4">
        <w:trPr>
          <w:tblCellSpacing w:w="0" w:type="dxa"/>
        </w:trPr>
        <w:tc>
          <w:tcPr>
            <w:tcW w:w="4708" w:type="dxa"/>
            <w:tcMar>
              <w:top w:w="0" w:type="dxa"/>
              <w:left w:w="108" w:type="dxa"/>
              <w:bottom w:w="0" w:type="dxa"/>
              <w:right w:w="108" w:type="dxa"/>
            </w:tcMar>
            <w:hideMark/>
          </w:tcPr>
          <w:p w:rsidR="006F37C4" w:rsidRPr="006F37C4" w:rsidRDefault="006F37C4" w:rsidP="006F37C4">
            <w:pPr>
              <w:spacing w:before="120" w:after="120" w:line="234" w:lineRule="atLeast"/>
              <w:rPr>
                <w:rFonts w:ascii="Times New Roman" w:eastAsia="Times New Roman" w:hAnsi="Times New Roman" w:cs="Times New Roman"/>
              </w:rPr>
            </w:pPr>
            <w:r w:rsidRPr="006F37C4">
              <w:rPr>
                <w:rFonts w:ascii="Times New Roman" w:eastAsia="Times New Roman" w:hAnsi="Times New Roman" w:cs="Times New Roman"/>
                <w:b/>
                <w:bCs/>
                <w:i/>
                <w:iCs/>
                <w:sz w:val="24"/>
                <w:szCs w:val="24"/>
              </w:rPr>
              <w:br/>
            </w:r>
            <w:r w:rsidRPr="006F37C4">
              <w:rPr>
                <w:rFonts w:ascii="Times New Roman" w:eastAsia="Times New Roman" w:hAnsi="Times New Roman" w:cs="Times New Roman"/>
                <w:b/>
                <w:bCs/>
                <w:i/>
                <w:iCs/>
              </w:rPr>
              <w:t>Nơi nhận:</w:t>
            </w:r>
            <w:r w:rsidRPr="006F37C4">
              <w:rPr>
                <w:rFonts w:ascii="Times New Roman" w:eastAsia="Times New Roman" w:hAnsi="Times New Roman" w:cs="Times New Roman"/>
                <w:b/>
                <w:bCs/>
                <w:i/>
                <w:iCs/>
              </w:rPr>
              <w:br/>
            </w:r>
            <w:r w:rsidRPr="006F37C4">
              <w:rPr>
                <w:rFonts w:ascii="Times New Roman" w:eastAsia="Times New Roman" w:hAnsi="Times New Roman" w:cs="Times New Roman"/>
              </w:rPr>
              <w:t>- Ban Bí thư Trung ương Đảng;</w:t>
            </w:r>
            <w:r w:rsidRPr="006F37C4">
              <w:rPr>
                <w:rFonts w:ascii="Times New Roman" w:eastAsia="Times New Roman" w:hAnsi="Times New Roman" w:cs="Times New Roman"/>
              </w:rPr>
              <w:br/>
              <w:t>- Thủ tướng, các Phó Thủ tướng Chính phủ;</w:t>
            </w:r>
            <w:r w:rsidRPr="006F37C4">
              <w:rPr>
                <w:rFonts w:ascii="Times New Roman" w:eastAsia="Times New Roman" w:hAnsi="Times New Roman" w:cs="Times New Roman"/>
              </w:rPr>
              <w:br/>
              <w:t>- Các bộ, cơ quan ngang bộ, cơ quan thuộc Chính phủ;</w:t>
            </w:r>
            <w:r w:rsidRPr="006F37C4">
              <w:rPr>
                <w:rFonts w:ascii="Times New Roman" w:eastAsia="Times New Roman" w:hAnsi="Times New Roman" w:cs="Times New Roman"/>
              </w:rPr>
              <w:br/>
              <w:t>- HĐND, UBND các tỉnh, thành phố trực thuộc trung ương;</w:t>
            </w:r>
            <w:r w:rsidRPr="006F37C4">
              <w:rPr>
                <w:rFonts w:ascii="Times New Roman" w:eastAsia="Times New Roman" w:hAnsi="Times New Roman" w:cs="Times New Roman"/>
              </w:rPr>
              <w:br/>
              <w:t>- Văn phòng Trung ương và các Ban của Đảng;</w:t>
            </w:r>
            <w:r w:rsidRPr="006F37C4">
              <w:rPr>
                <w:rFonts w:ascii="Times New Roman" w:eastAsia="Times New Roman" w:hAnsi="Times New Roman" w:cs="Times New Roman"/>
              </w:rPr>
              <w:br/>
              <w:t>- Văn phòng Tổng Bí thư;</w:t>
            </w:r>
            <w:r w:rsidRPr="006F37C4">
              <w:rPr>
                <w:rFonts w:ascii="Times New Roman" w:eastAsia="Times New Roman" w:hAnsi="Times New Roman" w:cs="Times New Roman"/>
              </w:rPr>
              <w:br/>
              <w:t>- Văn phòng Chủ tịch nước;</w:t>
            </w:r>
            <w:r w:rsidRPr="006F37C4">
              <w:rPr>
                <w:rFonts w:ascii="Times New Roman" w:eastAsia="Times New Roman" w:hAnsi="Times New Roman" w:cs="Times New Roman"/>
              </w:rPr>
              <w:br/>
              <w:t>- Văn phòng Quốc hội;</w:t>
            </w:r>
            <w:r w:rsidRPr="006F37C4">
              <w:rPr>
                <w:rFonts w:ascii="Times New Roman" w:eastAsia="Times New Roman" w:hAnsi="Times New Roman" w:cs="Times New Roman"/>
              </w:rPr>
              <w:br/>
              <w:t>- Hội đồng dân tộc và các Ủy ban của Quốc hội;</w:t>
            </w:r>
            <w:r w:rsidRPr="006F37C4">
              <w:rPr>
                <w:rFonts w:ascii="Times New Roman" w:eastAsia="Times New Roman" w:hAnsi="Times New Roman" w:cs="Times New Roman"/>
              </w:rPr>
              <w:br/>
              <w:t>- Toà án nhân dân tối cao;</w:t>
            </w:r>
            <w:r w:rsidRPr="006F37C4">
              <w:rPr>
                <w:rFonts w:ascii="Times New Roman" w:eastAsia="Times New Roman" w:hAnsi="Times New Roman" w:cs="Times New Roman"/>
              </w:rPr>
              <w:br/>
              <w:t>- Viện Kiểm sát nhân dân tối cao;</w:t>
            </w:r>
            <w:r w:rsidRPr="006F37C4">
              <w:rPr>
                <w:rFonts w:ascii="Times New Roman" w:eastAsia="Times New Roman" w:hAnsi="Times New Roman" w:cs="Times New Roman"/>
              </w:rPr>
              <w:br/>
              <w:t>- Kiểm toán Nhà nước;</w:t>
            </w:r>
            <w:r w:rsidRPr="006F37C4">
              <w:rPr>
                <w:rFonts w:ascii="Times New Roman" w:eastAsia="Times New Roman" w:hAnsi="Times New Roman" w:cs="Times New Roman"/>
              </w:rPr>
              <w:br/>
              <w:t>- Ủy ban Giám sát tài chính Quốc gia;</w:t>
            </w:r>
            <w:r w:rsidRPr="006F37C4">
              <w:rPr>
                <w:rFonts w:ascii="Times New Roman" w:eastAsia="Times New Roman" w:hAnsi="Times New Roman" w:cs="Times New Roman"/>
              </w:rPr>
              <w:br/>
              <w:t>- Ngân hàng Chính sách xã hội;</w:t>
            </w:r>
            <w:r w:rsidRPr="006F37C4">
              <w:rPr>
                <w:rFonts w:ascii="Times New Roman" w:eastAsia="Times New Roman" w:hAnsi="Times New Roman" w:cs="Times New Roman"/>
              </w:rPr>
              <w:br/>
              <w:t>- Ngân hàng Phát triển Việt Nam;</w:t>
            </w:r>
            <w:r w:rsidRPr="006F37C4">
              <w:rPr>
                <w:rFonts w:ascii="Times New Roman" w:eastAsia="Times New Roman" w:hAnsi="Times New Roman" w:cs="Times New Roman"/>
              </w:rPr>
              <w:br/>
              <w:t>- Ủy ban Trung ương Mặt trận Tổ quốc Việt Nam;</w:t>
            </w:r>
            <w:r w:rsidRPr="006F37C4">
              <w:rPr>
                <w:rFonts w:ascii="Times New Roman" w:eastAsia="Times New Roman" w:hAnsi="Times New Roman" w:cs="Times New Roman"/>
              </w:rPr>
              <w:br/>
              <w:t>- Cơ quan trung ương của các đoàn thể;</w:t>
            </w:r>
            <w:r w:rsidRPr="006F37C4">
              <w:rPr>
                <w:rFonts w:ascii="Times New Roman" w:eastAsia="Times New Roman" w:hAnsi="Times New Roman" w:cs="Times New Roman"/>
              </w:rPr>
              <w:br/>
              <w:t>- VPCP: BTCN, các PCN, Trợ lý TTCP, TGĐ Cổng TTĐT, Các Vụ, Cục, các đơn vị trực thuộc, Công báo;</w:t>
            </w:r>
            <w:r w:rsidRPr="006F37C4">
              <w:rPr>
                <w:rFonts w:ascii="Times New Roman" w:eastAsia="Times New Roman" w:hAnsi="Times New Roman" w:cs="Times New Roman"/>
              </w:rPr>
              <w:br/>
              <w:t>- Lưu: VT, TCCV (3b).</w:t>
            </w:r>
          </w:p>
        </w:tc>
        <w:tc>
          <w:tcPr>
            <w:tcW w:w="4148" w:type="dxa"/>
            <w:tcMar>
              <w:top w:w="0" w:type="dxa"/>
              <w:left w:w="108" w:type="dxa"/>
              <w:bottom w:w="0" w:type="dxa"/>
              <w:right w:w="108" w:type="dxa"/>
            </w:tcMar>
            <w:hideMark/>
          </w:tcPr>
          <w:p w:rsidR="006F37C4" w:rsidRPr="006F37C4" w:rsidRDefault="006F37C4" w:rsidP="006F37C4">
            <w:pPr>
              <w:spacing w:before="120" w:after="120" w:line="234" w:lineRule="atLeast"/>
              <w:jc w:val="center"/>
              <w:rPr>
                <w:rFonts w:ascii="Times New Roman" w:eastAsia="Times New Roman" w:hAnsi="Times New Roman" w:cs="Times New Roman"/>
                <w:sz w:val="24"/>
                <w:szCs w:val="24"/>
              </w:rPr>
            </w:pPr>
            <w:r w:rsidRPr="006F37C4">
              <w:rPr>
                <w:rFonts w:ascii="Times New Roman" w:eastAsia="Times New Roman" w:hAnsi="Times New Roman" w:cs="Times New Roman"/>
                <w:b/>
                <w:bCs/>
                <w:sz w:val="24"/>
                <w:szCs w:val="24"/>
              </w:rPr>
              <w:t>TM. CHÍNH PHỦ</w:t>
            </w:r>
            <w:r w:rsidRPr="006F37C4">
              <w:rPr>
                <w:rFonts w:ascii="Times New Roman" w:eastAsia="Times New Roman" w:hAnsi="Times New Roman" w:cs="Times New Roman"/>
                <w:b/>
                <w:bCs/>
                <w:sz w:val="24"/>
                <w:szCs w:val="24"/>
              </w:rPr>
              <w:br/>
              <w:t>KT. THỦ TƯỚNG</w:t>
            </w:r>
            <w:r w:rsidRPr="006F37C4">
              <w:rPr>
                <w:rFonts w:ascii="Times New Roman" w:eastAsia="Times New Roman" w:hAnsi="Times New Roman" w:cs="Times New Roman"/>
                <w:b/>
                <w:bCs/>
                <w:sz w:val="24"/>
                <w:szCs w:val="24"/>
              </w:rPr>
              <w:br/>
              <w:t>PHÓ THỦ TƯỚNG</w:t>
            </w:r>
            <w:r w:rsidRPr="006F37C4">
              <w:rPr>
                <w:rFonts w:ascii="Times New Roman" w:eastAsia="Times New Roman" w:hAnsi="Times New Roman" w:cs="Times New Roman"/>
                <w:b/>
                <w:bCs/>
                <w:sz w:val="24"/>
                <w:szCs w:val="24"/>
              </w:rPr>
              <w:br/>
            </w:r>
            <w:r w:rsidRPr="006F37C4">
              <w:rPr>
                <w:rFonts w:ascii="Times New Roman" w:eastAsia="Times New Roman" w:hAnsi="Times New Roman" w:cs="Times New Roman"/>
                <w:b/>
                <w:bCs/>
                <w:sz w:val="24"/>
                <w:szCs w:val="24"/>
              </w:rPr>
              <w:br/>
            </w:r>
            <w:r w:rsidR="0081037F">
              <w:rPr>
                <w:rFonts w:ascii="Times New Roman" w:eastAsia="Times New Roman" w:hAnsi="Times New Roman" w:cs="Times New Roman"/>
                <w:b/>
                <w:bCs/>
                <w:sz w:val="24"/>
                <w:szCs w:val="24"/>
              </w:rPr>
              <w:t>(ĐÃ KÝ)</w:t>
            </w:r>
            <w:bookmarkStart w:id="111" w:name="_GoBack"/>
            <w:bookmarkEnd w:id="111"/>
            <w:r w:rsidRPr="006F37C4">
              <w:rPr>
                <w:rFonts w:ascii="Times New Roman" w:eastAsia="Times New Roman" w:hAnsi="Times New Roman" w:cs="Times New Roman"/>
                <w:b/>
                <w:bCs/>
                <w:sz w:val="24"/>
                <w:szCs w:val="24"/>
              </w:rPr>
              <w:br/>
            </w:r>
            <w:r w:rsidRPr="006F37C4">
              <w:rPr>
                <w:rFonts w:ascii="Times New Roman" w:eastAsia="Times New Roman" w:hAnsi="Times New Roman" w:cs="Times New Roman"/>
                <w:b/>
                <w:bCs/>
                <w:sz w:val="24"/>
                <w:szCs w:val="24"/>
              </w:rPr>
              <w:br/>
            </w:r>
            <w:r w:rsidRPr="006F37C4">
              <w:rPr>
                <w:rFonts w:ascii="Times New Roman" w:eastAsia="Times New Roman" w:hAnsi="Times New Roman" w:cs="Times New Roman"/>
                <w:b/>
                <w:bCs/>
                <w:sz w:val="24"/>
                <w:szCs w:val="24"/>
              </w:rPr>
              <w:br/>
              <w:t>Nguyễn Hòa Bình</w:t>
            </w:r>
          </w:p>
        </w:tc>
      </w:tr>
    </w:tbl>
    <w:p w:rsidR="006E7AC9" w:rsidRPr="006F37C4" w:rsidRDefault="0081037F">
      <w:pPr>
        <w:rPr>
          <w:sz w:val="24"/>
          <w:szCs w:val="24"/>
        </w:rPr>
      </w:pPr>
    </w:p>
    <w:sectPr w:rsidR="006E7AC9" w:rsidRPr="006F37C4" w:rsidSect="006F37C4">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C4"/>
    <w:rsid w:val="006F37C4"/>
    <w:rsid w:val="0081037F"/>
    <w:rsid w:val="00C55963"/>
    <w:rsid w:val="00F8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66629-C2EC-4A38-A5B2-7F953F24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7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C4"/>
    <w:rPr>
      <w:color w:val="0000FF"/>
      <w:u w:val="single"/>
    </w:rPr>
  </w:style>
  <w:style w:type="paragraph" w:styleId="BalloonText">
    <w:name w:val="Balloon Text"/>
    <w:basedOn w:val="Normal"/>
    <w:link w:val="BalloonTextChar"/>
    <w:uiPriority w:val="99"/>
    <w:semiHidden/>
    <w:unhideWhenUsed/>
    <w:rsid w:val="006F3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7024</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18</dc:creator>
  <cp:keywords/>
  <dc:description/>
  <cp:lastModifiedBy>Windows 18</cp:lastModifiedBy>
  <cp:revision>2</cp:revision>
  <cp:lastPrinted>2025-01-03T02:51:00Z</cp:lastPrinted>
  <dcterms:created xsi:type="dcterms:W3CDTF">2025-01-03T02:47:00Z</dcterms:created>
  <dcterms:modified xsi:type="dcterms:W3CDTF">2025-01-03T02:52:00Z</dcterms:modified>
</cp:coreProperties>
</file>